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0"/>
      </w:tblGrid>
      <w:tr w:rsidR="001B1C8F" w14:paraId="78C1FAB5" w14:textId="77777777" w:rsidTr="00743DAA">
        <w:tc>
          <w:tcPr>
            <w:tcW w:w="9083" w:type="dxa"/>
            <w:shd w:val="clear" w:color="auto" w:fill="F2F2F2" w:themeFill="background1" w:themeFillShade="F2"/>
          </w:tcPr>
          <w:p w14:paraId="555DAF73" w14:textId="77777777" w:rsidR="001B1C8F" w:rsidRDefault="001B1C8F" w:rsidP="00743DAA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  <w:p w14:paraId="06209EF4" w14:textId="77777777" w:rsidR="001B1C8F" w:rsidRPr="00475704" w:rsidRDefault="001B1C8F" w:rsidP="00743DA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Title:</w:t>
            </w:r>
          </w:p>
          <w:p w14:paraId="5F573C8D" w14:textId="12C8C45C" w:rsidR="001B1C8F" w:rsidRDefault="001B1C8F" w:rsidP="00743DAA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>Traumatic</w:t>
            </w:r>
            <w:r w:rsidR="00D34A32">
              <w:rPr>
                <w:rFonts w:ascii="Times New Roman" w:hAnsi="Times New Roman" w:cs="Times New Roman"/>
                <w:color w:val="0000FF"/>
                <w:sz w:val="20"/>
              </w:rPr>
              <w:t xml:space="preserve"> Cerebrovascular Injury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: </w:t>
            </w:r>
            <w:r w:rsidR="00D34A32">
              <w:rPr>
                <w:rFonts w:ascii="Times New Roman" w:hAnsi="Times New Roman" w:cs="Times New Roman"/>
                <w:color w:val="0000FF"/>
                <w:sz w:val="20"/>
              </w:rPr>
              <w:t>A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="00D34A32">
              <w:rPr>
                <w:rFonts w:ascii="Times New Roman" w:hAnsi="Times New Roman" w:cs="Times New Roman"/>
                <w:color w:val="0000FF"/>
                <w:sz w:val="20"/>
              </w:rPr>
              <w:t>R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etrospective </w:t>
            </w:r>
            <w:r w:rsidR="00D34A32">
              <w:rPr>
                <w:rFonts w:ascii="Times New Roman" w:hAnsi="Times New Roman" w:cs="Times New Roman"/>
                <w:color w:val="0000FF"/>
                <w:sz w:val="20"/>
              </w:rPr>
              <w:t>R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eview</w:t>
            </w:r>
            <w:r w:rsidR="00750301">
              <w:rPr>
                <w:rFonts w:ascii="Times New Roman" w:hAnsi="Times New Roman" w:cs="Times New Roman"/>
                <w:color w:val="0000FF"/>
                <w:sz w:val="20"/>
              </w:rPr>
              <w:t xml:space="preserve"> in a Major Trauma Center in Hong Kong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. </w:t>
            </w:r>
          </w:p>
          <w:p w14:paraId="145C3B09" w14:textId="3C994776" w:rsidR="001B1C8F" w:rsidRPr="00475704" w:rsidRDefault="001B1C8F" w:rsidP="00743DAA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</w:p>
          <w:p w14:paraId="132ED306" w14:textId="77777777" w:rsidR="001B1C8F" w:rsidRDefault="001B1C8F" w:rsidP="00743DA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Authors:</w:t>
            </w:r>
            <w:r w:rsidRPr="00475704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20890318" w14:textId="53AB8A11" w:rsidR="001B1C8F" w:rsidRPr="001B1C8F" w:rsidRDefault="001B1C8F" w:rsidP="00743D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u w:val="single"/>
              </w:rPr>
              <w:t>YE Wen Zhe</w:t>
            </w:r>
            <w:r w:rsidR="00D34A32">
              <w:rPr>
                <w:rFonts w:ascii="Times New Roman" w:hAnsi="Times New Roman" w:cs="Times New Roman"/>
                <w:color w:val="0000FF"/>
                <w:sz w:val="20"/>
              </w:rPr>
              <w:t xml:space="preserve">, </w:t>
            </w:r>
            <w:r w:rsidR="00D34A32">
              <w:rPr>
                <w:rFonts w:ascii="Times New Roman" w:hAnsi="Times New Roman" w:cs="Times New Roman"/>
                <w:color w:val="0000FF"/>
                <w:sz w:val="20"/>
              </w:rPr>
              <w:t>SHAM Juan Kevan</w:t>
            </w:r>
            <w:r w:rsidR="00146DD3">
              <w:rPr>
                <w:rFonts w:ascii="Times New Roman" w:hAnsi="Times New Roman" w:cs="Times New Roman"/>
                <w:color w:val="0000FF"/>
                <w:sz w:val="20"/>
              </w:rPr>
              <w:t xml:space="preserve">, </w:t>
            </w:r>
            <w:r w:rsidR="00146DD3">
              <w:rPr>
                <w:rFonts w:ascii="Times New Roman" w:hAnsi="Times New Roman" w:cs="Times New Roman"/>
                <w:color w:val="0000FF"/>
                <w:sz w:val="20"/>
              </w:rPr>
              <w:t>CHEUNG Fung Ching</w:t>
            </w:r>
          </w:p>
          <w:p w14:paraId="43486059" w14:textId="77777777" w:rsidR="001B1C8F" w:rsidRDefault="001B1C8F" w:rsidP="00743DAA">
            <w:pPr>
              <w:rPr>
                <w:rFonts w:ascii="Times New Roman" w:hAnsi="Times New Roman" w:cs="Times New Roman"/>
                <w:sz w:val="20"/>
              </w:rPr>
            </w:pPr>
          </w:p>
          <w:p w14:paraId="4AA50BC0" w14:textId="77777777" w:rsidR="001B1C8F" w:rsidRPr="00475704" w:rsidRDefault="001B1C8F" w:rsidP="00743DA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Institution(s):</w:t>
            </w:r>
          </w:p>
          <w:p w14:paraId="2A62D243" w14:textId="559C906D" w:rsidR="001B1C8F" w:rsidRDefault="001B1C8F" w:rsidP="005643BE">
            <w:pPr>
              <w:tabs>
                <w:tab w:val="left" w:pos="6591"/>
              </w:tabs>
              <w:rPr>
                <w:rFonts w:ascii="Times New Roman" w:hAnsi="Times New Roman" w:cs="Times New Roman"/>
                <w:color w:val="0000FF"/>
                <w:sz w:val="20"/>
              </w:rPr>
            </w:pPr>
            <w:r w:rsidRPr="00475704">
              <w:rPr>
                <w:rFonts w:ascii="Times New Roman" w:hAnsi="Times New Roman" w:cs="Times New Roman"/>
                <w:color w:val="0000FF"/>
                <w:sz w:val="20"/>
              </w:rPr>
              <w:t>Department of Neurosurgery, Queen Elizabeth Hospital, Hong Kong.</w:t>
            </w:r>
            <w:r w:rsidR="005643BE">
              <w:rPr>
                <w:rFonts w:ascii="Times New Roman" w:hAnsi="Times New Roman" w:cs="Times New Roman"/>
                <w:color w:val="0000FF"/>
                <w:sz w:val="20"/>
              </w:rPr>
              <w:tab/>
            </w:r>
          </w:p>
          <w:p w14:paraId="16E9DD63" w14:textId="77777777" w:rsidR="001B1C8F" w:rsidRPr="001B1C8F" w:rsidRDefault="001B1C8F" w:rsidP="00743DAA">
            <w:pPr>
              <w:rPr>
                <w:rFonts w:ascii="Times New Roman" w:hAnsi="Times New Roman" w:cs="Times New Roman"/>
                <w:color w:val="0000FF"/>
                <w:sz w:val="20"/>
              </w:rPr>
            </w:pPr>
          </w:p>
          <w:p w14:paraId="2C29136E" w14:textId="51303930" w:rsidR="001B1C8F" w:rsidRPr="00475704" w:rsidRDefault="001B1C8F" w:rsidP="00743DAA">
            <w:pPr>
              <w:rPr>
                <w:rFonts w:ascii="Times New Roman" w:hAnsi="Times New Roman" w:cs="Times New Roman"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Abstract:</w:t>
            </w:r>
            <w:r w:rsidRPr="0047570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EDB3A8D" w14:textId="77777777" w:rsidR="001B1C8F" w:rsidRPr="00475704" w:rsidRDefault="001B1C8F" w:rsidP="00743DA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Objective</w:t>
            </w:r>
            <w:r w:rsidRPr="00475704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7D8D3A1C" w14:textId="782EE301" w:rsidR="001B1C8F" w:rsidRDefault="00F9119D" w:rsidP="00743DAA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F9119D">
              <w:rPr>
                <w:rFonts w:ascii="Times New Roman" w:hAnsi="Times New Roman" w:cs="Times New Roman"/>
                <w:color w:val="0000FF"/>
                <w:sz w:val="20"/>
              </w:rPr>
              <w:t>Blunt traumatic cerebrovascular injury (TCVI) is one of the commonly associated injury in major trauma patients</w:t>
            </w:r>
            <w:r w:rsidR="00C43E8E">
              <w:rPr>
                <w:rFonts w:ascii="Times New Roman" w:hAnsi="Times New Roman" w:cs="Times New Roman"/>
                <w:color w:val="0000FF"/>
                <w:sz w:val="20"/>
              </w:rPr>
              <w:t>.</w:t>
            </w:r>
            <w:r w:rsidR="00A570E1" w:rsidRPr="00A570E1">
              <w:rPr>
                <w:rFonts w:ascii="Times New Roman" w:hAnsi="Times New Roman" w:cs="Times New Roman"/>
                <w:color w:val="0000FF"/>
                <w:sz w:val="20"/>
              </w:rPr>
              <w:t xml:space="preserve"> It is however easily missed and devastating consequence of stroke can be potentially preventable with early diagnosis and treatment.</w:t>
            </w:r>
            <w:r w:rsidR="005F4DD4">
              <w:rPr>
                <w:rFonts w:ascii="Times New Roman" w:hAnsi="Times New Roman" w:cs="Times New Roman"/>
                <w:color w:val="0000FF"/>
                <w:sz w:val="20"/>
              </w:rPr>
              <w:t xml:space="preserve"> This study is performed to review </w:t>
            </w:r>
            <w:r w:rsidR="00E309D0">
              <w:rPr>
                <w:rFonts w:ascii="Times New Roman" w:hAnsi="Times New Roman" w:cs="Times New Roman"/>
                <w:color w:val="0000FF"/>
                <w:sz w:val="20"/>
              </w:rPr>
              <w:t>the outcome of this group of patients in</w:t>
            </w:r>
            <w:r w:rsidR="005F4DD4">
              <w:rPr>
                <w:rFonts w:ascii="Times New Roman" w:hAnsi="Times New Roman" w:cs="Times New Roman"/>
                <w:color w:val="0000FF"/>
                <w:sz w:val="20"/>
              </w:rPr>
              <w:t xml:space="preserve"> a major trauma center. </w:t>
            </w:r>
          </w:p>
          <w:p w14:paraId="69A0DA83" w14:textId="77777777" w:rsidR="00C43E8E" w:rsidRPr="00C43E8E" w:rsidRDefault="00C43E8E" w:rsidP="00743DAA">
            <w:pPr>
              <w:rPr>
                <w:rFonts w:ascii="Times New Roman" w:hAnsi="Times New Roman" w:cs="Times New Roman"/>
                <w:color w:val="0000FF"/>
                <w:sz w:val="20"/>
              </w:rPr>
            </w:pPr>
          </w:p>
          <w:p w14:paraId="2DFB2D99" w14:textId="77777777" w:rsidR="001B1C8F" w:rsidRPr="00475704" w:rsidRDefault="001B1C8F" w:rsidP="00743DAA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Method:</w:t>
            </w:r>
          </w:p>
          <w:p w14:paraId="18110FF1" w14:textId="5D9239A2" w:rsidR="001B1C8F" w:rsidRPr="00475704" w:rsidRDefault="001B1C8F" w:rsidP="00743DAA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475704">
              <w:rPr>
                <w:rFonts w:ascii="Times New Roman" w:hAnsi="Times New Roman" w:cs="Times New Roman"/>
                <w:color w:val="0000FF"/>
                <w:sz w:val="20"/>
              </w:rPr>
              <w:t xml:space="preserve">This </w:t>
            </w:r>
            <w:r w:rsidR="009C1713">
              <w:rPr>
                <w:rFonts w:ascii="Times New Roman" w:hAnsi="Times New Roman" w:cs="Times New Roman"/>
                <w:color w:val="0000FF"/>
                <w:sz w:val="20"/>
              </w:rPr>
              <w:t>is</w:t>
            </w:r>
            <w:r w:rsidRPr="00475704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="00C43E8E">
              <w:rPr>
                <w:rFonts w:ascii="Times New Roman" w:hAnsi="Times New Roman" w:cs="Times New Roman"/>
                <w:color w:val="0000FF"/>
                <w:sz w:val="20"/>
              </w:rPr>
              <w:t>a</w:t>
            </w:r>
            <w:r w:rsidRPr="00475704">
              <w:rPr>
                <w:rFonts w:ascii="Times New Roman" w:hAnsi="Times New Roman" w:cs="Times New Roman"/>
                <w:color w:val="0000FF"/>
                <w:sz w:val="20"/>
              </w:rPr>
              <w:t xml:space="preserve"> retrospective review of </w:t>
            </w:r>
            <w:r w:rsidR="00C43E8E">
              <w:rPr>
                <w:rFonts w:ascii="Times New Roman" w:hAnsi="Times New Roman" w:cs="Times New Roman"/>
                <w:color w:val="0000FF"/>
                <w:sz w:val="20"/>
              </w:rPr>
              <w:t xml:space="preserve">patients admitted to </w:t>
            </w:r>
            <w:r w:rsidR="00995867">
              <w:rPr>
                <w:rFonts w:ascii="Times New Roman" w:hAnsi="Times New Roman" w:cs="Times New Roman"/>
                <w:color w:val="0000FF"/>
                <w:sz w:val="20"/>
              </w:rPr>
              <w:t>Queen Elizabeth Hospital</w:t>
            </w:r>
            <w:r w:rsidR="00C43E8E">
              <w:rPr>
                <w:rFonts w:ascii="Times New Roman" w:hAnsi="Times New Roman" w:cs="Times New Roman"/>
                <w:color w:val="0000FF"/>
                <w:sz w:val="20"/>
              </w:rPr>
              <w:t xml:space="preserve"> from January 2015 to June 2021 with TCVI.</w:t>
            </w:r>
            <w:r w:rsidRPr="00475704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="00C43E8E">
              <w:rPr>
                <w:rFonts w:ascii="Times New Roman" w:hAnsi="Times New Roman" w:cs="Times New Roman"/>
                <w:color w:val="0000FF"/>
                <w:sz w:val="20"/>
              </w:rPr>
              <w:t>The d</w:t>
            </w:r>
            <w:r w:rsidR="007761CE">
              <w:rPr>
                <w:rFonts w:ascii="Times New Roman" w:hAnsi="Times New Roman" w:cs="Times New Roman"/>
                <w:color w:val="0000FF"/>
                <w:sz w:val="20"/>
              </w:rPr>
              <w:t xml:space="preserve">emographics, </w:t>
            </w:r>
            <w:r w:rsidR="00C43E8E">
              <w:rPr>
                <w:rFonts w:ascii="Times New Roman" w:hAnsi="Times New Roman" w:cs="Times New Roman"/>
                <w:color w:val="0000FF"/>
                <w:sz w:val="20"/>
              </w:rPr>
              <w:t xml:space="preserve">mechanism of injury, </w:t>
            </w:r>
            <w:r w:rsidR="007761CE">
              <w:rPr>
                <w:rFonts w:ascii="Times New Roman" w:hAnsi="Times New Roman" w:cs="Times New Roman"/>
                <w:color w:val="0000FF"/>
                <w:sz w:val="20"/>
              </w:rPr>
              <w:t xml:space="preserve">pathology, </w:t>
            </w:r>
            <w:r w:rsidR="009C1713">
              <w:rPr>
                <w:rFonts w:ascii="Times New Roman" w:hAnsi="Times New Roman" w:cs="Times New Roman"/>
                <w:color w:val="0000FF"/>
                <w:sz w:val="20"/>
              </w:rPr>
              <w:t>treatment,</w:t>
            </w:r>
            <w:r w:rsidR="007761CE">
              <w:rPr>
                <w:rFonts w:ascii="Times New Roman" w:hAnsi="Times New Roman" w:cs="Times New Roman"/>
                <w:color w:val="0000FF"/>
                <w:sz w:val="20"/>
              </w:rPr>
              <w:t xml:space="preserve"> and outcome of</w:t>
            </w:r>
            <w:r w:rsidR="00C43E8E">
              <w:rPr>
                <w:rFonts w:ascii="Times New Roman" w:hAnsi="Times New Roman" w:cs="Times New Roman"/>
                <w:color w:val="0000FF"/>
                <w:sz w:val="20"/>
              </w:rPr>
              <w:t xml:space="preserve"> these patients are investigated</w:t>
            </w:r>
            <w:r w:rsidR="007761CE">
              <w:rPr>
                <w:rFonts w:ascii="Times New Roman" w:hAnsi="Times New Roman" w:cs="Times New Roman"/>
                <w:color w:val="0000FF"/>
                <w:sz w:val="20"/>
              </w:rPr>
              <w:t xml:space="preserve">. </w:t>
            </w:r>
          </w:p>
          <w:p w14:paraId="619D3D5B" w14:textId="77777777" w:rsidR="001B1C8F" w:rsidRDefault="001B1C8F" w:rsidP="00743DAA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6847BDB9" w14:textId="77777777" w:rsidR="001B1C8F" w:rsidRPr="00475704" w:rsidRDefault="001B1C8F" w:rsidP="00743DAA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Result:</w:t>
            </w:r>
          </w:p>
          <w:p w14:paraId="67EB7521" w14:textId="6019D620" w:rsidR="00F9119D" w:rsidRPr="00475704" w:rsidRDefault="005F4DD4" w:rsidP="00743DAA">
            <w:pPr>
              <w:rPr>
                <w:rFonts w:ascii="Times New Roman" w:hAnsi="Times New Roman" w:cs="Times New Roman"/>
                <w:color w:val="0000FF"/>
                <w:sz w:val="20"/>
                <w:lang w:eastAsia="zh-CN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>A t</w:t>
            </w:r>
            <w:r w:rsidR="00F9119D">
              <w:rPr>
                <w:rFonts w:ascii="Times New Roman" w:hAnsi="Times New Roman" w:cs="Times New Roman"/>
                <w:color w:val="0000FF"/>
                <w:sz w:val="20"/>
              </w:rPr>
              <w:t xml:space="preserve">otal of 12 patients </w:t>
            </w:r>
            <w:r w:rsidR="00995867">
              <w:rPr>
                <w:rFonts w:ascii="Times New Roman" w:hAnsi="Times New Roman" w:cs="Times New Roman"/>
                <w:color w:val="0000FF"/>
                <w:sz w:val="20"/>
              </w:rPr>
              <w:t>are</w:t>
            </w:r>
            <w:r w:rsidR="00F9119D">
              <w:rPr>
                <w:rFonts w:ascii="Times New Roman" w:hAnsi="Times New Roman" w:cs="Times New Roman"/>
                <w:color w:val="0000FF"/>
                <w:sz w:val="20"/>
              </w:rPr>
              <w:t xml:space="preserve"> included</w:t>
            </w:r>
            <w:r w:rsidR="00A570E1">
              <w:rPr>
                <w:rFonts w:ascii="Times New Roman" w:hAnsi="Times New Roman" w:cs="Times New Roman"/>
                <w:color w:val="0000FF"/>
                <w:sz w:val="20"/>
              </w:rPr>
              <w:t xml:space="preserve">, age 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ranging </w:t>
            </w:r>
            <w:r w:rsidR="00A570E1">
              <w:rPr>
                <w:rFonts w:ascii="Times New Roman" w:hAnsi="Times New Roman" w:cs="Times New Roman"/>
                <w:color w:val="0000FF"/>
                <w:sz w:val="20"/>
              </w:rPr>
              <w:t xml:space="preserve">from 20-60, </w:t>
            </w:r>
            <w:r w:rsidR="00D82AFB">
              <w:rPr>
                <w:rFonts w:ascii="Times New Roman" w:hAnsi="Times New Roman" w:cs="Times New Roman"/>
                <w:color w:val="0000FF"/>
                <w:sz w:val="20"/>
              </w:rPr>
              <w:t xml:space="preserve">two-third </w:t>
            </w:r>
            <w:r w:rsidR="00E33EE1">
              <w:rPr>
                <w:rFonts w:ascii="Times New Roman" w:hAnsi="Times New Roman" w:cs="Times New Roman"/>
                <w:color w:val="0000FF"/>
                <w:sz w:val="20"/>
              </w:rPr>
              <w:t>are</w:t>
            </w:r>
            <w:r w:rsidR="00A570E1">
              <w:rPr>
                <w:rFonts w:ascii="Times New Roman" w:hAnsi="Times New Roman" w:cs="Times New Roman"/>
                <w:color w:val="0000FF"/>
                <w:sz w:val="20"/>
              </w:rPr>
              <w:t xml:space="preserve"> male</w:t>
            </w:r>
            <w:r w:rsidR="00F9119D">
              <w:rPr>
                <w:rFonts w:ascii="Times New Roman" w:hAnsi="Times New Roman" w:cs="Times New Roman"/>
                <w:color w:val="0000FF"/>
                <w:sz w:val="20"/>
              </w:rPr>
              <w:t>.</w:t>
            </w:r>
            <w:r w:rsidR="00A570E1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="00E33EE1">
              <w:rPr>
                <w:rFonts w:ascii="Times New Roman" w:hAnsi="Times New Roman" w:cs="Times New Roman"/>
                <w:color w:val="0000FF"/>
                <w:sz w:val="20"/>
              </w:rPr>
              <w:t>Mechanisms of injury</w:t>
            </w:r>
            <w:r w:rsidR="00F9119D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  <w:r w:rsidR="00E33EE1">
              <w:rPr>
                <w:rFonts w:ascii="Times New Roman" w:hAnsi="Times New Roman" w:cs="Times New Roman"/>
                <w:color w:val="0000FF"/>
                <w:sz w:val="20"/>
              </w:rPr>
              <w:t xml:space="preserve">include 41% fall from height, </w:t>
            </w:r>
            <w:r w:rsidR="00483B7E">
              <w:rPr>
                <w:rFonts w:ascii="Times New Roman" w:hAnsi="Times New Roman" w:cs="Times New Roman"/>
                <w:color w:val="0000FF"/>
                <w:sz w:val="20"/>
              </w:rPr>
              <w:t xml:space="preserve">21% road traffic accident, and 16% slip and fall. </w:t>
            </w:r>
            <w:r w:rsidR="00944EC3">
              <w:rPr>
                <w:rFonts w:ascii="Times New Roman" w:hAnsi="Times New Roman" w:cs="Times New Roman"/>
                <w:color w:val="0000FF"/>
                <w:sz w:val="20"/>
              </w:rPr>
              <w:t>The</w:t>
            </w:r>
            <w:r w:rsidR="007761CE">
              <w:rPr>
                <w:rFonts w:ascii="Times New Roman" w:hAnsi="Times New Roman" w:cs="Times New Roman"/>
                <w:color w:val="0000FF"/>
                <w:sz w:val="20"/>
              </w:rPr>
              <w:t xml:space="preserve"> pathologies include </w:t>
            </w:r>
            <w:r w:rsidR="00146DD3">
              <w:rPr>
                <w:rFonts w:ascii="Times New Roman" w:hAnsi="Times New Roman" w:cs="Times New Roman"/>
                <w:color w:val="0000FF"/>
                <w:sz w:val="20"/>
              </w:rPr>
              <w:t>carotid or vertebral artery</w:t>
            </w:r>
            <w:r w:rsidR="007761CE">
              <w:rPr>
                <w:rFonts w:ascii="Times New Roman" w:hAnsi="Times New Roman" w:cs="Times New Roman"/>
                <w:color w:val="0000FF"/>
                <w:sz w:val="20"/>
              </w:rPr>
              <w:t xml:space="preserve"> dissect</w:t>
            </w:r>
            <w:r w:rsidR="00944EC3">
              <w:rPr>
                <w:rFonts w:ascii="Times New Roman" w:hAnsi="Times New Roman" w:cs="Times New Roman"/>
                <w:color w:val="0000FF"/>
                <w:sz w:val="20"/>
              </w:rPr>
              <w:t>ion</w:t>
            </w:r>
            <w:r w:rsidR="007761CE">
              <w:rPr>
                <w:rFonts w:ascii="Times New Roman" w:hAnsi="Times New Roman" w:cs="Times New Roman"/>
                <w:color w:val="0000FF"/>
                <w:sz w:val="20"/>
              </w:rPr>
              <w:t>, pseudoaneurysm, an</w:t>
            </w:r>
            <w:r w:rsidR="00146DD3">
              <w:rPr>
                <w:rFonts w:ascii="Times New Roman" w:hAnsi="Times New Roman" w:cs="Times New Roman"/>
                <w:color w:val="0000FF"/>
                <w:sz w:val="20"/>
              </w:rPr>
              <w:t xml:space="preserve">d </w:t>
            </w:r>
            <w:r w:rsidR="00146DD3">
              <w:rPr>
                <w:rFonts w:ascii="Times New Roman" w:hAnsi="Times New Roman" w:cs="Times New Roman"/>
                <w:color w:val="0000FF"/>
                <w:sz w:val="20"/>
              </w:rPr>
              <w:t>carotid-cavernous fistula</w:t>
            </w:r>
            <w:r w:rsidR="00A570E1">
              <w:rPr>
                <w:rFonts w:ascii="Times New Roman" w:hAnsi="Times New Roman" w:cs="Times New Roman"/>
                <w:color w:val="0000FF"/>
                <w:sz w:val="20"/>
              </w:rPr>
              <w:t xml:space="preserve">. </w:t>
            </w:r>
            <w:r w:rsidR="00483B7E">
              <w:rPr>
                <w:rFonts w:ascii="Times New Roman" w:hAnsi="Times New Roman" w:cs="Times New Roman"/>
                <w:color w:val="0000FF"/>
                <w:sz w:val="20"/>
              </w:rPr>
              <w:t>66% of</w:t>
            </w:r>
            <w:r w:rsidR="00A570E1">
              <w:rPr>
                <w:rFonts w:ascii="Times New Roman" w:hAnsi="Times New Roman" w:cs="Times New Roman"/>
                <w:color w:val="0000FF"/>
                <w:sz w:val="20"/>
              </w:rPr>
              <w:t xml:space="preserve"> patients ha</w:t>
            </w:r>
            <w:r w:rsidR="00D82AFB">
              <w:rPr>
                <w:rFonts w:ascii="Times New Roman" w:hAnsi="Times New Roman" w:cs="Times New Roman"/>
                <w:color w:val="0000FF"/>
                <w:sz w:val="20"/>
              </w:rPr>
              <w:t>ve</w:t>
            </w:r>
            <w:r w:rsidR="00A570E1">
              <w:rPr>
                <w:rFonts w:ascii="Times New Roman" w:hAnsi="Times New Roman" w:cs="Times New Roman"/>
                <w:color w:val="0000FF"/>
                <w:sz w:val="20"/>
              </w:rPr>
              <w:t xml:space="preserve"> associated skull base fracture. </w:t>
            </w:r>
            <w:r w:rsidR="00E309D0">
              <w:rPr>
                <w:rFonts w:ascii="Times New Roman" w:hAnsi="Times New Roman" w:cs="Times New Roman"/>
                <w:color w:val="0000FF"/>
                <w:sz w:val="20"/>
              </w:rPr>
              <w:t xml:space="preserve">Concerning treatment, </w:t>
            </w:r>
            <w:r w:rsidR="00483B7E">
              <w:rPr>
                <w:rFonts w:ascii="Times New Roman" w:hAnsi="Times New Roman" w:cs="Times New Roman"/>
                <w:color w:val="0000FF"/>
                <w:sz w:val="20"/>
                <w:lang w:eastAsia="zh-CN"/>
              </w:rPr>
              <w:t>50</w:t>
            </w:r>
            <w:r w:rsidR="00F9119D">
              <w:rPr>
                <w:rFonts w:ascii="Times New Roman" w:hAnsi="Times New Roman" w:cs="Times New Roman"/>
                <w:color w:val="0000FF"/>
                <w:sz w:val="20"/>
                <w:lang w:eastAsia="zh-CN"/>
              </w:rPr>
              <w:t>% of these patients require surgical intervention which include</w:t>
            </w:r>
            <w:r w:rsidR="00D82AFB">
              <w:rPr>
                <w:rFonts w:ascii="Times New Roman" w:hAnsi="Times New Roman" w:cs="Times New Roman"/>
                <w:color w:val="0000FF"/>
                <w:sz w:val="20"/>
                <w:lang w:eastAsia="zh-CN"/>
              </w:rPr>
              <w:t xml:space="preserve"> </w:t>
            </w:r>
            <w:r w:rsidR="00E309D0">
              <w:rPr>
                <w:rFonts w:ascii="Times New Roman" w:hAnsi="Times New Roman" w:cs="Times New Roman"/>
                <w:color w:val="0000FF"/>
                <w:sz w:val="20"/>
                <w:lang w:eastAsia="zh-CN"/>
              </w:rPr>
              <w:t>stenting,</w:t>
            </w:r>
            <w:r w:rsidR="00F9119D">
              <w:rPr>
                <w:rFonts w:ascii="Times New Roman" w:hAnsi="Times New Roman" w:cs="Times New Roman"/>
                <w:color w:val="0000FF"/>
                <w:sz w:val="20"/>
                <w:lang w:eastAsia="zh-CN"/>
              </w:rPr>
              <w:t xml:space="preserve"> embolization of pseudoaneurysm</w:t>
            </w:r>
            <w:r w:rsidR="00E309D0">
              <w:rPr>
                <w:rFonts w:ascii="Times New Roman" w:hAnsi="Times New Roman" w:cs="Times New Roman"/>
                <w:color w:val="0000FF"/>
                <w:sz w:val="20"/>
                <w:lang w:eastAsia="zh-CN"/>
              </w:rPr>
              <w:t xml:space="preserve"> and </w:t>
            </w:r>
            <w:r w:rsidR="00F9119D">
              <w:rPr>
                <w:rFonts w:ascii="Times New Roman" w:hAnsi="Times New Roman" w:cs="Times New Roman"/>
                <w:color w:val="0000FF"/>
                <w:sz w:val="20"/>
                <w:lang w:eastAsia="zh-CN"/>
              </w:rPr>
              <w:t>CCF</w:t>
            </w:r>
            <w:r w:rsidR="00483B7E">
              <w:rPr>
                <w:rFonts w:ascii="Times New Roman" w:hAnsi="Times New Roman" w:cs="Times New Roman"/>
                <w:color w:val="0000FF"/>
                <w:sz w:val="20"/>
                <w:lang w:eastAsia="zh-CN"/>
              </w:rPr>
              <w:t>. The other half of</w:t>
            </w:r>
            <w:r w:rsidR="00E309D0">
              <w:rPr>
                <w:rFonts w:ascii="Times New Roman" w:hAnsi="Times New Roman" w:cs="Times New Roman"/>
                <w:color w:val="0000FF"/>
                <w:sz w:val="20"/>
                <w:lang w:eastAsia="zh-CN"/>
              </w:rPr>
              <w:t xml:space="preserve"> patients</w:t>
            </w:r>
            <w:r w:rsidR="00F9119D">
              <w:rPr>
                <w:rFonts w:ascii="Times New Roman" w:hAnsi="Times New Roman" w:cs="Times New Roman"/>
                <w:color w:val="0000FF"/>
                <w:sz w:val="20"/>
                <w:lang w:eastAsia="zh-CN"/>
              </w:rPr>
              <w:t xml:space="preserve"> require </w:t>
            </w:r>
            <w:r w:rsidR="00C43E8E">
              <w:rPr>
                <w:rFonts w:ascii="Times New Roman" w:hAnsi="Times New Roman" w:cs="Times New Roman"/>
                <w:color w:val="0000FF"/>
                <w:sz w:val="20"/>
                <w:lang w:eastAsia="zh-CN"/>
              </w:rPr>
              <w:t xml:space="preserve">aspirin </w:t>
            </w:r>
            <w:r w:rsidR="00F9119D">
              <w:rPr>
                <w:rFonts w:ascii="Times New Roman" w:hAnsi="Times New Roman" w:cs="Times New Roman"/>
                <w:color w:val="0000FF"/>
                <w:sz w:val="20"/>
                <w:lang w:eastAsia="zh-CN"/>
              </w:rPr>
              <w:t xml:space="preserve">alone. </w:t>
            </w:r>
            <w:r w:rsidR="00E309D0">
              <w:rPr>
                <w:rFonts w:ascii="Times New Roman" w:hAnsi="Times New Roman" w:cs="Times New Roman"/>
                <w:color w:val="0000FF"/>
                <w:sz w:val="20"/>
                <w:lang w:eastAsia="zh-CN"/>
              </w:rPr>
              <w:t xml:space="preserve">The overall stroke rate </w:t>
            </w:r>
            <w:r w:rsidR="00D82AFB">
              <w:rPr>
                <w:rFonts w:ascii="Times New Roman" w:hAnsi="Times New Roman" w:cs="Times New Roman"/>
                <w:color w:val="0000FF"/>
                <w:sz w:val="20"/>
                <w:lang w:eastAsia="zh-CN"/>
              </w:rPr>
              <w:t xml:space="preserve">is </w:t>
            </w:r>
            <w:r w:rsidR="00483B7E">
              <w:rPr>
                <w:rFonts w:ascii="Times New Roman" w:hAnsi="Times New Roman" w:cs="Times New Roman"/>
                <w:color w:val="0000FF"/>
                <w:sz w:val="20"/>
                <w:lang w:eastAsia="zh-CN"/>
              </w:rPr>
              <w:t>25</w:t>
            </w:r>
            <w:r w:rsidR="00C43E8E">
              <w:rPr>
                <w:rFonts w:ascii="Times New Roman" w:hAnsi="Times New Roman" w:cs="Times New Roman"/>
                <w:color w:val="0000FF"/>
                <w:sz w:val="20"/>
                <w:lang w:eastAsia="zh-CN"/>
              </w:rPr>
              <w:t>%.</w:t>
            </w:r>
            <w:r w:rsidR="00A570E1">
              <w:rPr>
                <w:rFonts w:ascii="Times New Roman" w:hAnsi="Times New Roman" w:cs="Times New Roman"/>
                <w:color w:val="0000FF"/>
                <w:sz w:val="20"/>
                <w:lang w:eastAsia="zh-CN"/>
              </w:rPr>
              <w:t xml:space="preserve"> </w:t>
            </w:r>
            <w:r w:rsidR="00E309D0">
              <w:rPr>
                <w:rFonts w:ascii="Times New Roman" w:hAnsi="Times New Roman" w:cs="Times New Roman"/>
                <w:color w:val="0000FF"/>
                <w:sz w:val="20"/>
                <w:lang w:eastAsia="zh-CN"/>
              </w:rPr>
              <w:t>The ri</w:t>
            </w:r>
            <w:r w:rsidR="00A570E1">
              <w:rPr>
                <w:rFonts w:ascii="Times New Roman" w:hAnsi="Times New Roman" w:cs="Times New Roman"/>
                <w:color w:val="0000FF"/>
                <w:sz w:val="20"/>
                <w:lang w:eastAsia="zh-CN"/>
              </w:rPr>
              <w:t xml:space="preserve">sk factors associated with TCVI </w:t>
            </w:r>
            <w:r w:rsidR="00D82AFB">
              <w:rPr>
                <w:rFonts w:ascii="Times New Roman" w:hAnsi="Times New Roman" w:cs="Times New Roman"/>
                <w:color w:val="0000FF"/>
                <w:sz w:val="20"/>
                <w:lang w:eastAsia="zh-CN"/>
              </w:rPr>
              <w:t xml:space="preserve">would </w:t>
            </w:r>
            <w:r w:rsidR="00A570E1">
              <w:rPr>
                <w:rFonts w:ascii="Times New Roman" w:hAnsi="Times New Roman" w:cs="Times New Roman"/>
                <w:color w:val="0000FF"/>
                <w:sz w:val="20"/>
                <w:lang w:eastAsia="zh-CN"/>
              </w:rPr>
              <w:t xml:space="preserve">be investigated and presented. </w:t>
            </w:r>
          </w:p>
          <w:p w14:paraId="5BA225B0" w14:textId="77777777" w:rsidR="001B1C8F" w:rsidRDefault="001B1C8F" w:rsidP="00743DAA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1CE08F43" w14:textId="7B0AE846" w:rsidR="001B1C8F" w:rsidRDefault="001B1C8F" w:rsidP="00743DAA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Conclusion</w:t>
            </w: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:</w:t>
            </w:r>
          </w:p>
          <w:p w14:paraId="6DE4ACB1" w14:textId="135DF42A" w:rsidR="001B1C8F" w:rsidRDefault="00E309D0" w:rsidP="00743DAA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</w:rPr>
              <w:t xml:space="preserve">TCVI is often underdiagnosed and patients with TCVI has high risk of stroke. </w:t>
            </w:r>
            <w:r w:rsidR="00D34A32">
              <w:rPr>
                <w:rFonts w:ascii="Times New Roman" w:hAnsi="Times New Roman" w:cs="Times New Roman"/>
                <w:color w:val="0000FF"/>
                <w:sz w:val="20"/>
              </w:rPr>
              <w:t xml:space="preserve">High clinical suspicion </w:t>
            </w:r>
            <w:r w:rsidR="00D34A32" w:rsidRPr="00D34A32">
              <w:rPr>
                <w:rFonts w:ascii="Times New Roman" w:hAnsi="Times New Roman" w:cs="Times New Roman"/>
                <w:color w:val="0000FF"/>
                <w:sz w:val="20"/>
              </w:rPr>
              <w:t>with early diagnosis and treatment</w:t>
            </w:r>
            <w:r w:rsidR="00D34A32">
              <w:rPr>
                <w:rFonts w:ascii="Times New Roman" w:hAnsi="Times New Roman" w:cs="Times New Roman"/>
                <w:color w:val="0000FF"/>
                <w:sz w:val="20"/>
              </w:rPr>
              <w:t xml:space="preserve"> is required</w:t>
            </w:r>
            <w:r>
              <w:rPr>
                <w:rFonts w:ascii="Times New Roman" w:hAnsi="Times New Roman" w:cs="Times New Roman"/>
                <w:color w:val="0000FF"/>
                <w:sz w:val="20"/>
              </w:rPr>
              <w:t>.</w:t>
            </w:r>
            <w:r w:rsidR="00D34A32">
              <w:rPr>
                <w:rFonts w:ascii="Times New Roman" w:hAnsi="Times New Roman" w:cs="Times New Roman"/>
                <w:color w:val="0000FF"/>
                <w:sz w:val="20"/>
              </w:rPr>
              <w:t xml:space="preserve"> </w:t>
            </w:r>
          </w:p>
        </w:tc>
      </w:tr>
    </w:tbl>
    <w:p w14:paraId="412F8889" w14:textId="77777777" w:rsidR="0092451D" w:rsidRDefault="005643BE"/>
    <w:sectPr w:rsidR="0092451D" w:rsidSect="009F7C3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8F"/>
    <w:rsid w:val="00067D31"/>
    <w:rsid w:val="00081D1F"/>
    <w:rsid w:val="00146DD3"/>
    <w:rsid w:val="001B1C8F"/>
    <w:rsid w:val="003F49D2"/>
    <w:rsid w:val="00483B7E"/>
    <w:rsid w:val="0052655C"/>
    <w:rsid w:val="005643BE"/>
    <w:rsid w:val="005909FE"/>
    <w:rsid w:val="005F4DD4"/>
    <w:rsid w:val="00735320"/>
    <w:rsid w:val="00750301"/>
    <w:rsid w:val="007505C6"/>
    <w:rsid w:val="007761CE"/>
    <w:rsid w:val="00936148"/>
    <w:rsid w:val="0094133C"/>
    <w:rsid w:val="00944EC3"/>
    <w:rsid w:val="00995867"/>
    <w:rsid w:val="009A6C87"/>
    <w:rsid w:val="009C1713"/>
    <w:rsid w:val="009F7C34"/>
    <w:rsid w:val="00A570E1"/>
    <w:rsid w:val="00AB3818"/>
    <w:rsid w:val="00BB5DAE"/>
    <w:rsid w:val="00BB6F03"/>
    <w:rsid w:val="00C07F13"/>
    <w:rsid w:val="00C43E8E"/>
    <w:rsid w:val="00CD441D"/>
    <w:rsid w:val="00D32592"/>
    <w:rsid w:val="00D3391C"/>
    <w:rsid w:val="00D34A32"/>
    <w:rsid w:val="00D82AFB"/>
    <w:rsid w:val="00E309D0"/>
    <w:rsid w:val="00E33EE1"/>
    <w:rsid w:val="00F9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E4C18"/>
  <w15:chartTrackingRefBased/>
  <w15:docId w15:val="{FFC3F57E-51C4-8B41-BEAC-CAEB96C1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C8F"/>
    <w:rPr>
      <w:sz w:val="22"/>
      <w:szCs w:val="22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YE, Wenzhe</dc:creator>
  <cp:keywords/>
  <dc:description/>
  <cp:lastModifiedBy>YE, Wenzhe</cp:lastModifiedBy>
  <cp:revision>8</cp:revision>
  <dcterms:created xsi:type="dcterms:W3CDTF">2021-09-09T17:15:00Z</dcterms:created>
  <dcterms:modified xsi:type="dcterms:W3CDTF">2021-09-24T14:38:00Z</dcterms:modified>
</cp:coreProperties>
</file>