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D382" w14:textId="7A4D2A1F" w:rsidR="006C5AC7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  <w:r w:rsidRPr="00814CA5">
        <w:rPr>
          <w:rFonts w:asciiTheme="majorBidi" w:hAnsiTheme="majorBidi" w:cstheme="majorBidi"/>
          <w:b/>
          <w:sz w:val="20"/>
          <w:szCs w:val="20"/>
        </w:rPr>
        <w:t xml:space="preserve">Title: </w:t>
      </w:r>
    </w:p>
    <w:p w14:paraId="2BC823EB" w14:textId="3732BA05" w:rsidR="006330C5" w:rsidRPr="00814CA5" w:rsidRDefault="00A37DA2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Mechanical Thrombectomy for </w:t>
      </w:r>
      <w:r w:rsidR="00E17418">
        <w:rPr>
          <w:rFonts w:asciiTheme="majorBidi" w:hAnsiTheme="majorBidi" w:cstheme="majorBidi"/>
          <w:b/>
          <w:sz w:val="20"/>
          <w:szCs w:val="20"/>
        </w:rPr>
        <w:t xml:space="preserve">In-Hospital </w:t>
      </w:r>
      <w:r>
        <w:rPr>
          <w:rFonts w:asciiTheme="majorBidi" w:hAnsiTheme="majorBidi" w:cstheme="majorBidi"/>
          <w:b/>
          <w:sz w:val="20"/>
          <w:szCs w:val="20"/>
        </w:rPr>
        <w:t xml:space="preserve">Versus </w:t>
      </w:r>
      <w:r w:rsidR="00E17418">
        <w:rPr>
          <w:rFonts w:asciiTheme="majorBidi" w:hAnsiTheme="majorBidi" w:cstheme="majorBidi"/>
          <w:b/>
          <w:sz w:val="20"/>
          <w:szCs w:val="20"/>
        </w:rPr>
        <w:t xml:space="preserve">Community-Onset Ischemic </w:t>
      </w:r>
      <w:r w:rsidR="006A1A4A">
        <w:rPr>
          <w:rFonts w:asciiTheme="majorBidi" w:hAnsiTheme="majorBidi" w:cstheme="majorBidi"/>
          <w:b/>
          <w:sz w:val="20"/>
          <w:szCs w:val="20"/>
        </w:rPr>
        <w:t>S</w:t>
      </w:r>
      <w:r w:rsidR="00E17418">
        <w:rPr>
          <w:rFonts w:asciiTheme="majorBidi" w:hAnsiTheme="majorBidi" w:cstheme="majorBidi"/>
          <w:b/>
          <w:sz w:val="20"/>
          <w:szCs w:val="20"/>
        </w:rPr>
        <w:t>troke</w:t>
      </w:r>
      <w:r>
        <w:rPr>
          <w:rFonts w:asciiTheme="majorBidi" w:hAnsiTheme="majorBidi" w:cstheme="majorBidi"/>
          <w:b/>
          <w:sz w:val="20"/>
          <w:szCs w:val="20"/>
        </w:rPr>
        <w:t xml:space="preserve">: Comparison of Time Metrics, </w:t>
      </w:r>
      <w:r w:rsidR="006A1A4A">
        <w:rPr>
          <w:rFonts w:asciiTheme="majorBidi" w:hAnsiTheme="majorBidi" w:cstheme="majorBidi"/>
          <w:b/>
          <w:sz w:val="20"/>
          <w:szCs w:val="20"/>
        </w:rPr>
        <w:t xml:space="preserve">Technical and Clinical Outcomes </w:t>
      </w:r>
      <w:r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14:paraId="166654F3" w14:textId="53ABFE15" w:rsidR="007879B8" w:rsidRPr="00814CA5" w:rsidRDefault="00D2160F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  <w:r w:rsidRPr="00814CA5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14:paraId="28FEBB04" w14:textId="77777777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4F59443F" w14:textId="77777777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  <w:r w:rsidRPr="00814CA5">
        <w:rPr>
          <w:rFonts w:asciiTheme="majorBidi" w:hAnsiTheme="majorBidi" w:cstheme="majorBidi"/>
          <w:b/>
          <w:sz w:val="20"/>
          <w:szCs w:val="20"/>
        </w:rPr>
        <w:t>Authors:</w:t>
      </w:r>
    </w:p>
    <w:p w14:paraId="2E9BFCC7" w14:textId="131E0640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sz w:val="20"/>
          <w:szCs w:val="20"/>
          <w:lang w:eastAsia="zh-HK"/>
        </w:rPr>
      </w:pPr>
      <w:r w:rsidRPr="00814CA5">
        <w:rPr>
          <w:rFonts w:asciiTheme="majorBidi" w:hAnsiTheme="majorBidi" w:cstheme="majorBidi"/>
          <w:sz w:val="20"/>
          <w:szCs w:val="20"/>
          <w:u w:val="single"/>
        </w:rPr>
        <w:t xml:space="preserve">SUM </w:t>
      </w:r>
      <w:proofErr w:type="spellStart"/>
      <w:r w:rsidRPr="00814CA5">
        <w:rPr>
          <w:rFonts w:asciiTheme="majorBidi" w:hAnsiTheme="majorBidi" w:cstheme="majorBidi"/>
          <w:sz w:val="20"/>
          <w:szCs w:val="20"/>
          <w:u w:val="single"/>
        </w:rPr>
        <w:t>Hiu</w:t>
      </w:r>
      <w:proofErr w:type="spellEnd"/>
      <w:r w:rsidRPr="00814CA5">
        <w:rPr>
          <w:rFonts w:asciiTheme="majorBidi" w:hAnsiTheme="majorBidi" w:cstheme="majorBidi"/>
          <w:sz w:val="20"/>
          <w:szCs w:val="20"/>
          <w:u w:val="single"/>
        </w:rPr>
        <w:t xml:space="preserve"> Fung Christopher</w:t>
      </w:r>
      <w:r w:rsidRPr="00814CA5">
        <w:rPr>
          <w:rFonts w:asciiTheme="majorBidi" w:hAnsiTheme="majorBidi" w:cstheme="majorBidi"/>
          <w:sz w:val="20"/>
          <w:szCs w:val="20"/>
        </w:rPr>
        <w:t xml:space="preserve">, TSANG Chun On Anderson, HO Wai Shing Wilson, LUI Wai Man  </w:t>
      </w:r>
    </w:p>
    <w:p w14:paraId="313D3A9B" w14:textId="77777777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14FE1DC2" w14:textId="77777777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  <w:r w:rsidRPr="00814CA5">
        <w:rPr>
          <w:rFonts w:asciiTheme="majorBidi" w:hAnsiTheme="majorBidi" w:cstheme="majorBidi"/>
          <w:b/>
          <w:sz w:val="20"/>
          <w:szCs w:val="20"/>
        </w:rPr>
        <w:t>Institution(s):</w:t>
      </w:r>
    </w:p>
    <w:p w14:paraId="73C85FF5" w14:textId="6FDE8219" w:rsidR="006C5AC7" w:rsidRPr="00814CA5" w:rsidRDefault="006C5AC7" w:rsidP="006C5AC7">
      <w:pPr>
        <w:snapToGrid w:val="0"/>
        <w:spacing w:line="0" w:lineRule="atLeast"/>
        <w:contextualSpacing/>
        <w:jc w:val="both"/>
        <w:rPr>
          <w:rFonts w:asciiTheme="majorBidi" w:hAnsiTheme="majorBidi" w:cstheme="majorBidi"/>
          <w:sz w:val="20"/>
          <w:szCs w:val="20"/>
        </w:rPr>
      </w:pPr>
      <w:r w:rsidRPr="00814CA5">
        <w:rPr>
          <w:rFonts w:asciiTheme="majorBidi" w:hAnsiTheme="majorBidi" w:cstheme="majorBidi"/>
          <w:sz w:val="20"/>
          <w:szCs w:val="20"/>
        </w:rPr>
        <w:t xml:space="preserve">Division of Neurosurgery, Department of Surgery, </w:t>
      </w:r>
      <w:r w:rsidR="002F7218">
        <w:rPr>
          <w:rFonts w:asciiTheme="majorBidi" w:hAnsiTheme="majorBidi" w:cstheme="majorBidi"/>
          <w:sz w:val="20"/>
          <w:szCs w:val="20"/>
        </w:rPr>
        <w:t xml:space="preserve">The University of Hong Kong. </w:t>
      </w:r>
    </w:p>
    <w:p w14:paraId="14E093B6" w14:textId="7C41F742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068F6445" w14:textId="77777777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sz w:val="20"/>
          <w:szCs w:val="20"/>
        </w:rPr>
      </w:pPr>
      <w:r w:rsidRPr="00814CA5">
        <w:rPr>
          <w:rFonts w:asciiTheme="majorBidi" w:hAnsiTheme="majorBidi" w:cstheme="majorBidi"/>
          <w:b/>
          <w:sz w:val="20"/>
          <w:szCs w:val="20"/>
        </w:rPr>
        <w:t>Abstract:</w:t>
      </w:r>
    </w:p>
    <w:p w14:paraId="00F494AC" w14:textId="030A7EC1" w:rsidR="00392251" w:rsidRPr="006B71B1" w:rsidRDefault="006C5AC7" w:rsidP="006640EF">
      <w:pPr>
        <w:spacing w:line="0" w:lineRule="atLeast"/>
        <w:jc w:val="both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6B71B1">
        <w:rPr>
          <w:rFonts w:asciiTheme="majorBidi" w:hAnsiTheme="majorBidi" w:cstheme="majorBidi"/>
          <w:b/>
          <w:i/>
          <w:iCs/>
          <w:sz w:val="20"/>
          <w:szCs w:val="20"/>
        </w:rPr>
        <w:t>Objective:</w:t>
      </w:r>
    </w:p>
    <w:p w14:paraId="6C09110E" w14:textId="08E7F55E" w:rsidR="00392251" w:rsidRPr="00814CA5" w:rsidRDefault="00392251" w:rsidP="006C5AC7">
      <w:pPr>
        <w:spacing w:line="0" w:lineRule="atLeast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Intra-arterial thrombectomy (IAT) for in-hospital onset ischemic stroke with large vessel occlusion</w:t>
      </w:r>
      <w:r w:rsidR="0000116E">
        <w:rPr>
          <w:rFonts w:asciiTheme="majorBidi" w:hAnsiTheme="majorBidi" w:cstheme="majorBidi"/>
          <w:bCs/>
          <w:sz w:val="20"/>
          <w:szCs w:val="20"/>
        </w:rPr>
        <w:t xml:space="preserve"> (LVO)</w:t>
      </w:r>
      <w:r>
        <w:rPr>
          <w:rFonts w:asciiTheme="majorBidi" w:hAnsiTheme="majorBidi" w:cstheme="majorBidi"/>
          <w:bCs/>
          <w:sz w:val="20"/>
          <w:szCs w:val="20"/>
        </w:rPr>
        <w:t xml:space="preserve"> is not</w:t>
      </w:r>
      <w:r w:rsidR="008761D1">
        <w:rPr>
          <w:rFonts w:asciiTheme="majorBidi" w:hAnsiTheme="majorBidi" w:cstheme="majorBidi"/>
          <w:bCs/>
          <w:sz w:val="20"/>
          <w:szCs w:val="20"/>
        </w:rPr>
        <w:t xml:space="preserve"> uncommon</w:t>
      </w:r>
      <w:r>
        <w:rPr>
          <w:rFonts w:asciiTheme="majorBidi" w:hAnsiTheme="majorBidi" w:cstheme="majorBidi"/>
          <w:bCs/>
          <w:sz w:val="20"/>
          <w:szCs w:val="20"/>
        </w:rPr>
        <w:t>.</w:t>
      </w:r>
      <w:r w:rsidR="000B0299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0E32D8">
        <w:rPr>
          <w:rFonts w:asciiTheme="majorBidi" w:hAnsiTheme="majorBidi" w:cstheme="majorBidi"/>
          <w:bCs/>
          <w:sz w:val="20"/>
          <w:szCs w:val="20"/>
        </w:rPr>
        <w:t xml:space="preserve">In-patient delay to timely neuroimaging and intervention </w:t>
      </w:r>
      <w:r w:rsidR="007E2056">
        <w:rPr>
          <w:rFonts w:asciiTheme="majorBidi" w:hAnsiTheme="majorBidi" w:cstheme="majorBidi"/>
          <w:bCs/>
          <w:sz w:val="20"/>
          <w:szCs w:val="20"/>
        </w:rPr>
        <w:t xml:space="preserve">is a </w:t>
      </w:r>
      <w:r w:rsidR="000E32D8">
        <w:rPr>
          <w:rFonts w:asciiTheme="majorBidi" w:hAnsiTheme="majorBidi" w:cstheme="majorBidi"/>
          <w:bCs/>
          <w:sz w:val="20"/>
          <w:szCs w:val="20"/>
        </w:rPr>
        <w:t>reported phenomen</w:t>
      </w:r>
      <w:r w:rsidR="007E2056">
        <w:rPr>
          <w:rFonts w:asciiTheme="majorBidi" w:hAnsiTheme="majorBidi" w:cstheme="majorBidi"/>
          <w:bCs/>
          <w:sz w:val="20"/>
          <w:szCs w:val="20"/>
        </w:rPr>
        <w:t>on,</w:t>
      </w:r>
      <w:r w:rsidR="000E32D8">
        <w:rPr>
          <w:rFonts w:asciiTheme="majorBidi" w:hAnsiTheme="majorBidi" w:cstheme="majorBidi"/>
          <w:bCs/>
          <w:sz w:val="20"/>
          <w:szCs w:val="20"/>
        </w:rPr>
        <w:t xml:space="preserve"> but </w:t>
      </w:r>
      <w:r w:rsidR="003C06C0">
        <w:rPr>
          <w:rFonts w:asciiTheme="majorBidi" w:hAnsiTheme="majorBidi" w:cstheme="majorBidi"/>
          <w:bCs/>
          <w:sz w:val="20"/>
          <w:szCs w:val="20"/>
        </w:rPr>
        <w:t>no</w:t>
      </w:r>
      <w:r w:rsidR="000E32D8">
        <w:rPr>
          <w:rFonts w:asciiTheme="majorBidi" w:hAnsiTheme="majorBidi" w:cstheme="majorBidi"/>
          <w:bCs/>
          <w:sz w:val="20"/>
          <w:szCs w:val="20"/>
        </w:rPr>
        <w:t xml:space="preserve"> local study on this </w:t>
      </w:r>
      <w:r w:rsidR="007E2056">
        <w:rPr>
          <w:rFonts w:asciiTheme="majorBidi" w:hAnsiTheme="majorBidi" w:cstheme="majorBidi"/>
          <w:bCs/>
          <w:sz w:val="20"/>
          <w:szCs w:val="20"/>
        </w:rPr>
        <w:t xml:space="preserve">specific </w:t>
      </w:r>
      <w:r w:rsidR="000E32D8">
        <w:rPr>
          <w:rFonts w:asciiTheme="majorBidi" w:hAnsiTheme="majorBidi" w:cstheme="majorBidi"/>
          <w:bCs/>
          <w:sz w:val="20"/>
          <w:szCs w:val="20"/>
        </w:rPr>
        <w:t>issue</w:t>
      </w:r>
      <w:r w:rsidR="003C06C0">
        <w:rPr>
          <w:rFonts w:asciiTheme="majorBidi" w:hAnsiTheme="majorBidi" w:cstheme="majorBidi"/>
          <w:bCs/>
          <w:sz w:val="20"/>
          <w:szCs w:val="20"/>
        </w:rPr>
        <w:t xml:space="preserve"> is available</w:t>
      </w:r>
      <w:r w:rsidR="000E32D8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5C204B">
        <w:rPr>
          <w:rFonts w:asciiTheme="majorBidi" w:hAnsiTheme="majorBidi" w:cstheme="majorBidi"/>
          <w:bCs/>
          <w:sz w:val="20"/>
          <w:szCs w:val="20"/>
        </w:rPr>
        <w:t xml:space="preserve">We aimed to </w:t>
      </w:r>
      <w:r w:rsidR="008761D1">
        <w:rPr>
          <w:rFonts w:asciiTheme="majorBidi" w:hAnsiTheme="majorBidi" w:cstheme="majorBidi"/>
          <w:bCs/>
          <w:sz w:val="20"/>
          <w:szCs w:val="20"/>
        </w:rPr>
        <w:t>a</w:t>
      </w:r>
      <w:r w:rsidR="005C204B">
        <w:rPr>
          <w:rFonts w:asciiTheme="majorBidi" w:hAnsiTheme="majorBidi" w:cstheme="majorBidi"/>
          <w:bCs/>
          <w:sz w:val="20"/>
          <w:szCs w:val="20"/>
        </w:rPr>
        <w:t>nalyze</w:t>
      </w:r>
      <w:r w:rsidR="002C0DFA">
        <w:rPr>
          <w:rFonts w:asciiTheme="majorBidi" w:hAnsiTheme="majorBidi" w:cstheme="majorBidi"/>
          <w:bCs/>
          <w:sz w:val="20"/>
          <w:szCs w:val="20"/>
        </w:rPr>
        <w:t xml:space="preserve"> the technical and clinical outcomes of in-hospital stroke (IHS) </w:t>
      </w:r>
      <w:r w:rsidR="000E32D8">
        <w:rPr>
          <w:rFonts w:asciiTheme="majorBidi" w:hAnsiTheme="majorBidi" w:cstheme="majorBidi"/>
          <w:bCs/>
          <w:sz w:val="20"/>
          <w:szCs w:val="20"/>
        </w:rPr>
        <w:t xml:space="preserve">patients </w:t>
      </w:r>
      <w:r w:rsidR="00DD5BB3">
        <w:rPr>
          <w:rFonts w:asciiTheme="majorBidi" w:hAnsiTheme="majorBidi" w:cstheme="majorBidi"/>
          <w:bCs/>
          <w:sz w:val="20"/>
          <w:szCs w:val="20"/>
        </w:rPr>
        <w:t xml:space="preserve">with IAT performed, compared to the </w:t>
      </w:r>
      <w:r w:rsidR="00E17418">
        <w:rPr>
          <w:rFonts w:asciiTheme="majorBidi" w:hAnsiTheme="majorBidi" w:cstheme="majorBidi"/>
          <w:bCs/>
          <w:sz w:val="20"/>
          <w:szCs w:val="20"/>
        </w:rPr>
        <w:t>community-</w:t>
      </w:r>
      <w:r w:rsidR="005C204B">
        <w:rPr>
          <w:rFonts w:asciiTheme="majorBidi" w:hAnsiTheme="majorBidi" w:cstheme="majorBidi"/>
          <w:bCs/>
          <w:sz w:val="20"/>
          <w:szCs w:val="20"/>
        </w:rPr>
        <w:t>onset group (</w:t>
      </w:r>
      <w:r w:rsidR="00E17418">
        <w:rPr>
          <w:rFonts w:asciiTheme="majorBidi" w:hAnsiTheme="majorBidi" w:cstheme="majorBidi"/>
          <w:bCs/>
          <w:sz w:val="20"/>
          <w:szCs w:val="20"/>
        </w:rPr>
        <w:t>CO</w:t>
      </w:r>
      <w:r w:rsidR="005C204B">
        <w:rPr>
          <w:rFonts w:asciiTheme="majorBidi" w:hAnsiTheme="majorBidi" w:cstheme="majorBidi"/>
          <w:bCs/>
          <w:sz w:val="20"/>
          <w:szCs w:val="20"/>
        </w:rPr>
        <w:t>S)</w:t>
      </w:r>
      <w:r w:rsidR="00441A95">
        <w:rPr>
          <w:rFonts w:asciiTheme="majorBidi" w:hAnsiTheme="majorBidi" w:cstheme="majorBidi"/>
          <w:bCs/>
          <w:sz w:val="20"/>
          <w:szCs w:val="20"/>
        </w:rPr>
        <w:t xml:space="preserve">.  </w:t>
      </w:r>
    </w:p>
    <w:p w14:paraId="63C4607E" w14:textId="77777777" w:rsidR="00BB2CFF" w:rsidRPr="00814CA5" w:rsidRDefault="00BB2CFF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57BED5BC" w14:textId="77777777" w:rsidR="0097579A" w:rsidRPr="006B71B1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6B71B1">
        <w:rPr>
          <w:rFonts w:asciiTheme="majorBidi" w:hAnsiTheme="majorBidi" w:cstheme="majorBidi"/>
          <w:b/>
          <w:i/>
          <w:iCs/>
          <w:sz w:val="20"/>
          <w:szCs w:val="20"/>
        </w:rPr>
        <w:t>Method:</w:t>
      </w:r>
    </w:p>
    <w:p w14:paraId="0F088BF3" w14:textId="7A91F5DC" w:rsidR="006C5AC7" w:rsidRPr="00814CA5" w:rsidRDefault="004C0E10" w:rsidP="006C5AC7">
      <w:pPr>
        <w:spacing w:line="0" w:lineRule="atLeast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A retrospective </w:t>
      </w:r>
      <w:r w:rsidR="005C204B">
        <w:rPr>
          <w:rFonts w:asciiTheme="majorBidi" w:hAnsiTheme="majorBidi" w:cstheme="majorBidi"/>
          <w:bCs/>
          <w:sz w:val="20"/>
          <w:szCs w:val="20"/>
        </w:rPr>
        <w:t xml:space="preserve">5-year data analysis was performed for </w:t>
      </w:r>
      <w:r w:rsidR="00C82437" w:rsidRPr="00814CA5">
        <w:rPr>
          <w:rFonts w:asciiTheme="majorBidi" w:hAnsiTheme="majorBidi" w:cstheme="majorBidi"/>
          <w:bCs/>
          <w:sz w:val="20"/>
          <w:szCs w:val="20"/>
        </w:rPr>
        <w:t xml:space="preserve">240 consecutive IATs </w:t>
      </w:r>
      <w:r w:rsidR="001C54DA">
        <w:rPr>
          <w:rFonts w:asciiTheme="majorBidi" w:hAnsiTheme="majorBidi" w:cstheme="majorBidi"/>
          <w:bCs/>
          <w:sz w:val="20"/>
          <w:szCs w:val="20"/>
        </w:rPr>
        <w:t>done</w:t>
      </w:r>
      <w:r w:rsidR="00C82437" w:rsidRPr="00814CA5">
        <w:rPr>
          <w:rFonts w:asciiTheme="majorBidi" w:hAnsiTheme="majorBidi" w:cstheme="majorBidi"/>
          <w:bCs/>
          <w:sz w:val="20"/>
          <w:szCs w:val="20"/>
        </w:rPr>
        <w:t xml:space="preserve"> at Queen Mary Hospital from January 2016 to June 2021. </w:t>
      </w:r>
      <w:r w:rsidR="009C65A5">
        <w:rPr>
          <w:rFonts w:asciiTheme="majorBidi" w:hAnsiTheme="majorBidi" w:cstheme="majorBidi"/>
          <w:bCs/>
          <w:sz w:val="20"/>
          <w:szCs w:val="20"/>
        </w:rPr>
        <w:t>They were dichotomized into the in-hospital and community-onset subgroups. Independent variables, such as baseline demographics, presenting NIHSS, ASPECTS, location of occlusion and thrombectomy device</w:t>
      </w:r>
      <w:r w:rsidR="00694E00">
        <w:rPr>
          <w:rFonts w:asciiTheme="majorBidi" w:hAnsiTheme="majorBidi" w:cstheme="majorBidi"/>
          <w:bCs/>
          <w:sz w:val="20"/>
          <w:szCs w:val="20"/>
        </w:rPr>
        <w:t xml:space="preserve"> used</w:t>
      </w:r>
      <w:r w:rsidR="009C65A5">
        <w:rPr>
          <w:rFonts w:asciiTheme="majorBidi" w:hAnsiTheme="majorBidi" w:cstheme="majorBidi"/>
          <w:bCs/>
          <w:sz w:val="20"/>
          <w:szCs w:val="20"/>
        </w:rPr>
        <w:t>, were collected.</w:t>
      </w:r>
      <w:proofErr w:type="spellStart"/>
      <w:r w:rsidR="009C65A5">
        <w:rPr>
          <w:rFonts w:asciiTheme="majorBidi" w:hAnsiTheme="majorBidi" w:cstheme="majorBidi"/>
          <w:bCs/>
          <w:sz w:val="20"/>
          <w:szCs w:val="20"/>
        </w:rPr>
        <w:t xml:space="preserve"> </w:t>
      </w:r>
      <w:proofErr w:type="spellEnd"/>
      <w:r w:rsidR="00C82437" w:rsidRPr="00814CA5">
        <w:rPr>
          <w:rFonts w:asciiTheme="majorBidi" w:hAnsiTheme="majorBidi" w:cstheme="majorBidi"/>
          <w:bCs/>
          <w:sz w:val="20"/>
          <w:szCs w:val="20"/>
        </w:rPr>
        <w:t>Primary outcome w</w:t>
      </w:r>
      <w:r w:rsidR="00D97033">
        <w:rPr>
          <w:rFonts w:asciiTheme="majorBidi" w:hAnsiTheme="majorBidi" w:cstheme="majorBidi"/>
          <w:bCs/>
          <w:sz w:val="20"/>
          <w:szCs w:val="20"/>
        </w:rPr>
        <w:t>as functional independence (</w:t>
      </w:r>
      <w:proofErr w:type="spellStart"/>
      <w:r w:rsidR="00D97033">
        <w:rPr>
          <w:rFonts w:asciiTheme="majorBidi" w:hAnsiTheme="majorBidi" w:cstheme="majorBidi"/>
          <w:bCs/>
          <w:sz w:val="20"/>
          <w:szCs w:val="20"/>
        </w:rPr>
        <w:t>mRS</w:t>
      </w:r>
      <w:proofErr w:type="spellEnd"/>
      <w:r w:rsidR="00D97033">
        <w:rPr>
          <w:rFonts w:asciiTheme="majorBidi" w:hAnsiTheme="majorBidi" w:cstheme="majorBidi"/>
          <w:bCs/>
          <w:sz w:val="20"/>
          <w:szCs w:val="20"/>
        </w:rPr>
        <w:t xml:space="preserve"> 0-2)</w:t>
      </w:r>
      <w:r w:rsidR="00694E00">
        <w:rPr>
          <w:rFonts w:asciiTheme="majorBidi" w:hAnsiTheme="majorBidi" w:cstheme="majorBidi"/>
          <w:bCs/>
          <w:sz w:val="20"/>
          <w:szCs w:val="20"/>
        </w:rPr>
        <w:t xml:space="preserve"> at 3 months</w:t>
      </w:r>
      <w:r w:rsidR="00C82437" w:rsidRPr="00814CA5">
        <w:rPr>
          <w:rFonts w:asciiTheme="majorBidi" w:hAnsiTheme="majorBidi" w:cstheme="majorBidi"/>
          <w:bCs/>
          <w:sz w:val="20"/>
          <w:szCs w:val="20"/>
        </w:rPr>
        <w:t>. Secondary outcomes included onset-to-puncture time, CT-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>to-</w:t>
      </w:r>
      <w:r w:rsidR="00C82437" w:rsidRPr="00814CA5">
        <w:rPr>
          <w:rFonts w:asciiTheme="majorBidi" w:hAnsiTheme="majorBidi" w:cstheme="majorBidi"/>
          <w:bCs/>
          <w:sz w:val="20"/>
          <w:szCs w:val="20"/>
        </w:rPr>
        <w:t>CTA (ang</w:t>
      </w:r>
      <w:r w:rsidR="00093947">
        <w:rPr>
          <w:rFonts w:asciiTheme="majorBidi" w:hAnsiTheme="majorBidi" w:cstheme="majorBidi"/>
          <w:bCs/>
          <w:sz w:val="20"/>
          <w:szCs w:val="20"/>
        </w:rPr>
        <w:t xml:space="preserve">iogram) </w:t>
      </w:r>
      <w:r w:rsidR="00C82437" w:rsidRPr="00814CA5">
        <w:rPr>
          <w:rFonts w:asciiTheme="majorBidi" w:hAnsiTheme="majorBidi" w:cstheme="majorBidi"/>
          <w:bCs/>
          <w:sz w:val="20"/>
          <w:szCs w:val="20"/>
        </w:rPr>
        <w:t>time, onset-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>to-</w:t>
      </w:r>
      <w:r w:rsidR="00C82437" w:rsidRPr="00814CA5">
        <w:rPr>
          <w:rFonts w:asciiTheme="majorBidi" w:hAnsiTheme="majorBidi" w:cstheme="majorBidi"/>
          <w:bCs/>
          <w:sz w:val="20"/>
          <w:szCs w:val="20"/>
        </w:rPr>
        <w:t xml:space="preserve">perfusion time, rates of successful reperfusion (TICI 2b/3), significant intracerebral hemorrhage </w:t>
      </w:r>
      <w:r w:rsidR="00D5248A" w:rsidRPr="00814CA5">
        <w:rPr>
          <w:rFonts w:asciiTheme="majorBidi" w:hAnsiTheme="majorBidi" w:cstheme="majorBidi"/>
          <w:bCs/>
          <w:sz w:val="20"/>
          <w:szCs w:val="20"/>
        </w:rPr>
        <w:t>(</w:t>
      </w:r>
      <w:proofErr w:type="spellStart"/>
      <w:r w:rsidR="00D5248A" w:rsidRPr="00814CA5">
        <w:rPr>
          <w:rFonts w:asciiTheme="majorBidi" w:hAnsiTheme="majorBidi" w:cstheme="majorBidi"/>
          <w:bCs/>
          <w:sz w:val="20"/>
          <w:szCs w:val="20"/>
        </w:rPr>
        <w:t>sICH</w:t>
      </w:r>
      <w:proofErr w:type="spellEnd"/>
      <w:r w:rsidR="00D5248A" w:rsidRPr="00814CA5">
        <w:rPr>
          <w:rFonts w:asciiTheme="majorBidi" w:hAnsiTheme="majorBidi" w:cstheme="majorBidi"/>
          <w:bCs/>
          <w:sz w:val="20"/>
          <w:szCs w:val="20"/>
        </w:rPr>
        <w:t xml:space="preserve">) </w:t>
      </w:r>
      <w:r w:rsidR="00C82437" w:rsidRPr="00814CA5">
        <w:rPr>
          <w:rFonts w:asciiTheme="majorBidi" w:hAnsiTheme="majorBidi" w:cstheme="majorBidi"/>
          <w:bCs/>
          <w:sz w:val="20"/>
          <w:szCs w:val="20"/>
        </w:rPr>
        <w:t>and 6-month mortality.</w:t>
      </w:r>
      <w:r w:rsidR="00A67337" w:rsidRPr="00814CA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C204B">
        <w:rPr>
          <w:rFonts w:asciiTheme="majorBidi" w:hAnsiTheme="majorBidi" w:cstheme="majorBidi"/>
          <w:bCs/>
          <w:sz w:val="20"/>
          <w:szCs w:val="20"/>
        </w:rPr>
        <w:t>These</w:t>
      </w:r>
      <w:r w:rsidR="00694E00">
        <w:rPr>
          <w:rFonts w:asciiTheme="majorBidi" w:hAnsiTheme="majorBidi" w:cstheme="majorBidi"/>
          <w:bCs/>
          <w:sz w:val="20"/>
          <w:szCs w:val="20"/>
        </w:rPr>
        <w:t xml:space="preserve"> outcomes</w:t>
      </w:r>
      <w:r w:rsidR="005C204B">
        <w:rPr>
          <w:rFonts w:asciiTheme="majorBidi" w:hAnsiTheme="majorBidi" w:cstheme="majorBidi"/>
          <w:bCs/>
          <w:sz w:val="20"/>
          <w:szCs w:val="20"/>
        </w:rPr>
        <w:t xml:space="preserve"> were compared with the </w:t>
      </w:r>
      <w:r w:rsidR="00E17418">
        <w:rPr>
          <w:rFonts w:asciiTheme="majorBidi" w:hAnsiTheme="majorBidi" w:cstheme="majorBidi"/>
          <w:bCs/>
          <w:sz w:val="20"/>
          <w:szCs w:val="20"/>
        </w:rPr>
        <w:t>COS</w:t>
      </w:r>
      <w:r w:rsidR="00A57295">
        <w:rPr>
          <w:rFonts w:asciiTheme="majorBidi" w:hAnsiTheme="majorBidi" w:cstheme="majorBidi"/>
          <w:bCs/>
          <w:sz w:val="20"/>
          <w:szCs w:val="20"/>
        </w:rPr>
        <w:t xml:space="preserve"> cohort. </w:t>
      </w:r>
    </w:p>
    <w:p w14:paraId="27CE6B50" w14:textId="77777777" w:rsidR="006C5AC7" w:rsidRPr="00814CA5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sz w:val="20"/>
          <w:szCs w:val="20"/>
        </w:rPr>
      </w:pPr>
    </w:p>
    <w:p w14:paraId="34F7977B" w14:textId="1B4BAA45" w:rsidR="006C5AC7" w:rsidRPr="006B71B1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6B71B1">
        <w:rPr>
          <w:rFonts w:asciiTheme="majorBidi" w:hAnsiTheme="majorBidi" w:cstheme="majorBidi"/>
          <w:b/>
          <w:i/>
          <w:iCs/>
          <w:sz w:val="20"/>
          <w:szCs w:val="20"/>
        </w:rPr>
        <w:t>Result:</w:t>
      </w:r>
    </w:p>
    <w:p w14:paraId="40CFE7D1" w14:textId="391F0591" w:rsidR="00607555" w:rsidRPr="00814CA5" w:rsidRDefault="00607555" w:rsidP="00BF06C8">
      <w:pPr>
        <w:spacing w:line="0" w:lineRule="atLeast"/>
        <w:jc w:val="both"/>
        <w:rPr>
          <w:rFonts w:asciiTheme="majorBidi" w:hAnsiTheme="majorBidi" w:cstheme="majorBidi"/>
          <w:bCs/>
          <w:sz w:val="20"/>
          <w:szCs w:val="20"/>
        </w:rPr>
      </w:pPr>
      <w:r w:rsidRPr="00814CA5">
        <w:rPr>
          <w:rFonts w:asciiTheme="majorBidi" w:hAnsiTheme="majorBidi" w:cstheme="majorBidi"/>
          <w:bCs/>
          <w:sz w:val="20"/>
          <w:szCs w:val="20"/>
        </w:rPr>
        <w:t xml:space="preserve">Among </w:t>
      </w:r>
      <w:r w:rsidR="00A10786" w:rsidRPr="00814CA5">
        <w:rPr>
          <w:rFonts w:asciiTheme="majorBidi" w:hAnsiTheme="majorBidi" w:cstheme="majorBidi"/>
          <w:bCs/>
          <w:sz w:val="20"/>
          <w:szCs w:val="20"/>
        </w:rPr>
        <w:t>the IATs performed</w:t>
      </w:r>
      <w:r w:rsidRPr="00814CA5">
        <w:rPr>
          <w:rFonts w:asciiTheme="majorBidi" w:hAnsiTheme="majorBidi" w:cstheme="majorBidi"/>
          <w:bCs/>
          <w:sz w:val="20"/>
          <w:szCs w:val="20"/>
        </w:rPr>
        <w:t xml:space="preserve">, </w:t>
      </w:r>
      <w:r w:rsidR="00A10786" w:rsidRPr="00814CA5">
        <w:rPr>
          <w:rFonts w:asciiTheme="majorBidi" w:hAnsiTheme="majorBidi" w:cstheme="majorBidi"/>
          <w:bCs/>
          <w:sz w:val="20"/>
          <w:szCs w:val="20"/>
        </w:rPr>
        <w:t>21% (50/240) were</w:t>
      </w:r>
      <w:r w:rsidR="00B43BAE">
        <w:rPr>
          <w:rFonts w:asciiTheme="majorBidi" w:hAnsiTheme="majorBidi" w:cstheme="majorBidi"/>
          <w:bCs/>
          <w:sz w:val="20"/>
          <w:szCs w:val="20"/>
        </w:rPr>
        <w:t xml:space="preserve"> for in-hospital stroke</w:t>
      </w:r>
      <w:r w:rsidR="00037710" w:rsidRPr="00814CA5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BF06C8">
        <w:rPr>
          <w:rFonts w:asciiTheme="majorBidi" w:hAnsiTheme="majorBidi" w:cstheme="majorBidi"/>
          <w:bCs/>
          <w:sz w:val="20"/>
          <w:szCs w:val="20"/>
        </w:rPr>
        <w:t>38% (19/50)</w:t>
      </w:r>
      <w:r w:rsidR="001C54DA">
        <w:rPr>
          <w:rFonts w:asciiTheme="majorBidi" w:hAnsiTheme="majorBidi" w:cstheme="majorBidi"/>
          <w:bCs/>
          <w:sz w:val="20"/>
          <w:szCs w:val="20"/>
        </w:rPr>
        <w:t xml:space="preserve"> occurred peri</w:t>
      </w:r>
      <w:r w:rsidR="0000116E">
        <w:rPr>
          <w:rFonts w:asciiTheme="majorBidi" w:hAnsiTheme="majorBidi" w:cstheme="majorBidi"/>
          <w:bCs/>
          <w:sz w:val="20"/>
          <w:szCs w:val="20"/>
        </w:rPr>
        <w:t>-</w:t>
      </w:r>
      <w:r w:rsidR="001C54DA">
        <w:rPr>
          <w:rFonts w:asciiTheme="majorBidi" w:hAnsiTheme="majorBidi" w:cstheme="majorBidi"/>
          <w:bCs/>
          <w:sz w:val="20"/>
          <w:szCs w:val="20"/>
        </w:rPr>
        <w:t xml:space="preserve">procedurally (within 14 days post-intervention). </w:t>
      </w:r>
      <w:r w:rsidR="00D70DB3" w:rsidRPr="00814CA5">
        <w:rPr>
          <w:rFonts w:asciiTheme="majorBidi" w:hAnsiTheme="majorBidi" w:cstheme="majorBidi"/>
          <w:bCs/>
          <w:sz w:val="20"/>
          <w:szCs w:val="20"/>
        </w:rPr>
        <w:t>The rate of intravenous tissue plasminogen activator (IV-</w:t>
      </w:r>
      <w:proofErr w:type="spellStart"/>
      <w:r w:rsidR="00D70DB3" w:rsidRPr="00814CA5">
        <w:rPr>
          <w:rFonts w:asciiTheme="majorBidi" w:hAnsiTheme="majorBidi" w:cstheme="majorBidi"/>
          <w:bCs/>
          <w:sz w:val="20"/>
          <w:szCs w:val="20"/>
        </w:rPr>
        <w:t>tPA</w:t>
      </w:r>
      <w:proofErr w:type="spellEnd"/>
      <w:r w:rsidR="00D70DB3" w:rsidRPr="00814CA5">
        <w:rPr>
          <w:rFonts w:asciiTheme="majorBidi" w:hAnsiTheme="majorBidi" w:cstheme="majorBidi"/>
          <w:bCs/>
          <w:sz w:val="20"/>
          <w:szCs w:val="20"/>
        </w:rPr>
        <w:t xml:space="preserve">) administration was lower (22% vs 48%, </w:t>
      </w:r>
      <w:r w:rsidR="00D70DB3" w:rsidRPr="00814CA5">
        <w:rPr>
          <w:rFonts w:asciiTheme="majorBidi" w:hAnsiTheme="majorBidi" w:cstheme="majorBidi"/>
          <w:bCs/>
          <w:i/>
          <w:iCs/>
          <w:sz w:val="20"/>
          <w:szCs w:val="20"/>
        </w:rPr>
        <w:t>P</w:t>
      </w:r>
      <w:r w:rsidR="00D70DB3" w:rsidRPr="00814CA5">
        <w:rPr>
          <w:rFonts w:asciiTheme="majorBidi" w:hAnsiTheme="majorBidi" w:cstheme="majorBidi"/>
          <w:bCs/>
          <w:sz w:val="20"/>
          <w:szCs w:val="20"/>
        </w:rPr>
        <w:t>&lt;0.001)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 xml:space="preserve"> in the IHS group. </w:t>
      </w:r>
      <w:r w:rsidR="005735E0">
        <w:rPr>
          <w:rFonts w:asciiTheme="majorBidi" w:hAnsiTheme="majorBidi" w:cstheme="majorBidi"/>
          <w:bCs/>
          <w:sz w:val="20"/>
          <w:szCs w:val="20"/>
        </w:rPr>
        <w:t>T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 xml:space="preserve">he </w:t>
      </w:r>
      <w:r w:rsidR="005735E0">
        <w:rPr>
          <w:rFonts w:asciiTheme="majorBidi" w:hAnsiTheme="majorBidi" w:cstheme="majorBidi"/>
          <w:bCs/>
          <w:sz w:val="20"/>
          <w:szCs w:val="20"/>
        </w:rPr>
        <w:t xml:space="preserve">mean 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>onset-to-puncture (297 vs 247</w:t>
      </w:r>
      <w:r w:rsidR="00FF377A" w:rsidRPr="00814CA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 xml:space="preserve">min, </w:t>
      </w:r>
      <w:r w:rsidR="00B5487F" w:rsidRPr="00814CA5">
        <w:rPr>
          <w:rFonts w:asciiTheme="majorBidi" w:hAnsiTheme="majorBidi" w:cstheme="majorBidi"/>
          <w:bCs/>
          <w:i/>
          <w:iCs/>
          <w:sz w:val="20"/>
          <w:szCs w:val="20"/>
        </w:rPr>
        <w:t>P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>=0.041) and onset-reperfusion time (379 vs</w:t>
      </w:r>
      <w:r w:rsidR="00FF377A" w:rsidRPr="00814CA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>314</w:t>
      </w:r>
      <w:r w:rsidR="00FF377A" w:rsidRPr="00814CA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 xml:space="preserve">min, </w:t>
      </w:r>
      <w:r w:rsidR="00B5487F" w:rsidRPr="00814CA5">
        <w:rPr>
          <w:rFonts w:asciiTheme="majorBidi" w:hAnsiTheme="majorBidi" w:cstheme="majorBidi"/>
          <w:bCs/>
          <w:i/>
          <w:iCs/>
          <w:sz w:val="20"/>
          <w:szCs w:val="20"/>
        </w:rPr>
        <w:t>P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>=0.009) w</w:t>
      </w:r>
      <w:r w:rsidR="005735E0">
        <w:rPr>
          <w:rFonts w:asciiTheme="majorBidi" w:hAnsiTheme="majorBidi" w:cstheme="majorBidi"/>
          <w:bCs/>
          <w:sz w:val="20"/>
          <w:szCs w:val="20"/>
        </w:rPr>
        <w:t>ere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 xml:space="preserve"> significantly longer</w:t>
      </w:r>
      <w:r w:rsidR="005735E0">
        <w:rPr>
          <w:rFonts w:asciiTheme="majorBidi" w:hAnsiTheme="majorBidi" w:cstheme="majorBidi"/>
          <w:bCs/>
          <w:sz w:val="20"/>
          <w:szCs w:val="20"/>
        </w:rPr>
        <w:t xml:space="preserve"> in the IHS group</w:t>
      </w:r>
      <w:r w:rsidR="00B5487F" w:rsidRPr="00814CA5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5735E0">
        <w:rPr>
          <w:rFonts w:asciiTheme="majorBidi" w:hAnsiTheme="majorBidi" w:cstheme="majorBidi"/>
          <w:bCs/>
          <w:sz w:val="20"/>
          <w:szCs w:val="20"/>
        </w:rPr>
        <w:t xml:space="preserve">The 3-month </w:t>
      </w:r>
      <w:proofErr w:type="spellStart"/>
      <w:r w:rsidR="005735E0">
        <w:rPr>
          <w:rFonts w:asciiTheme="majorBidi" w:hAnsiTheme="majorBidi" w:cstheme="majorBidi"/>
          <w:bCs/>
          <w:sz w:val="20"/>
          <w:szCs w:val="20"/>
        </w:rPr>
        <w:t>mRS</w:t>
      </w:r>
      <w:proofErr w:type="spellEnd"/>
      <w:r w:rsidR="009968DA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5735E0">
        <w:rPr>
          <w:rFonts w:asciiTheme="majorBidi" w:hAnsiTheme="majorBidi" w:cstheme="majorBidi"/>
          <w:bCs/>
          <w:sz w:val="20"/>
          <w:szCs w:val="20"/>
        </w:rPr>
        <w:t>0-2 rate</w:t>
      </w:r>
      <w:r w:rsidR="00D5248A" w:rsidRPr="00814CA5">
        <w:rPr>
          <w:rFonts w:asciiTheme="majorBidi" w:hAnsiTheme="majorBidi" w:cstheme="majorBidi"/>
          <w:bCs/>
          <w:sz w:val="20"/>
          <w:szCs w:val="20"/>
        </w:rPr>
        <w:t xml:space="preserve"> (40% vs 41%, </w:t>
      </w:r>
      <w:r w:rsidR="00D5248A" w:rsidRPr="00814CA5">
        <w:rPr>
          <w:rFonts w:asciiTheme="majorBidi" w:hAnsiTheme="majorBidi" w:cstheme="majorBidi"/>
          <w:bCs/>
          <w:i/>
          <w:iCs/>
          <w:sz w:val="20"/>
          <w:szCs w:val="20"/>
        </w:rPr>
        <w:t>P</w:t>
      </w:r>
      <w:r w:rsidR="00D5248A" w:rsidRPr="00814CA5">
        <w:rPr>
          <w:rFonts w:asciiTheme="majorBidi" w:hAnsiTheme="majorBidi" w:cstheme="majorBidi"/>
          <w:bCs/>
          <w:sz w:val="20"/>
          <w:szCs w:val="20"/>
        </w:rPr>
        <w:t xml:space="preserve">=0.91), successful reperfusion </w:t>
      </w:r>
      <w:r w:rsidR="005735E0">
        <w:rPr>
          <w:rFonts w:asciiTheme="majorBidi" w:hAnsiTheme="majorBidi" w:cstheme="majorBidi"/>
          <w:bCs/>
          <w:sz w:val="20"/>
          <w:szCs w:val="20"/>
        </w:rPr>
        <w:t xml:space="preserve">rate </w:t>
      </w:r>
      <w:r w:rsidR="00D5248A" w:rsidRPr="00814CA5">
        <w:rPr>
          <w:rFonts w:asciiTheme="majorBidi" w:hAnsiTheme="majorBidi" w:cstheme="majorBidi"/>
          <w:bCs/>
          <w:sz w:val="20"/>
          <w:szCs w:val="20"/>
        </w:rPr>
        <w:t xml:space="preserve">(84% vs 86%, </w:t>
      </w:r>
      <w:r w:rsidR="00D5248A" w:rsidRPr="00814CA5">
        <w:rPr>
          <w:rFonts w:asciiTheme="majorBidi" w:hAnsiTheme="majorBidi" w:cstheme="majorBidi"/>
          <w:bCs/>
          <w:i/>
          <w:iCs/>
          <w:sz w:val="20"/>
          <w:szCs w:val="20"/>
        </w:rPr>
        <w:t>P</w:t>
      </w:r>
      <w:r w:rsidR="00D5248A" w:rsidRPr="00814CA5">
        <w:rPr>
          <w:rFonts w:asciiTheme="majorBidi" w:hAnsiTheme="majorBidi" w:cstheme="majorBidi"/>
          <w:bCs/>
          <w:sz w:val="20"/>
          <w:szCs w:val="20"/>
        </w:rPr>
        <w:t xml:space="preserve">=0.85), 6-month mortality (31% vs 27%, </w:t>
      </w:r>
      <w:r w:rsidR="00D5248A" w:rsidRPr="00AB63A4">
        <w:rPr>
          <w:rFonts w:asciiTheme="majorBidi" w:hAnsiTheme="majorBidi" w:cstheme="majorBidi"/>
          <w:bCs/>
          <w:i/>
          <w:iCs/>
          <w:sz w:val="20"/>
          <w:szCs w:val="20"/>
        </w:rPr>
        <w:t>P</w:t>
      </w:r>
      <w:r w:rsidR="00D5248A" w:rsidRPr="00814CA5">
        <w:rPr>
          <w:rFonts w:asciiTheme="majorBidi" w:hAnsiTheme="majorBidi" w:cstheme="majorBidi"/>
          <w:bCs/>
          <w:sz w:val="20"/>
          <w:szCs w:val="20"/>
        </w:rPr>
        <w:t xml:space="preserve">=0.71) and </w:t>
      </w:r>
      <w:proofErr w:type="spellStart"/>
      <w:r w:rsidR="00D5248A" w:rsidRPr="00814CA5">
        <w:rPr>
          <w:rFonts w:asciiTheme="majorBidi" w:hAnsiTheme="majorBidi" w:cstheme="majorBidi"/>
          <w:bCs/>
          <w:sz w:val="20"/>
          <w:szCs w:val="20"/>
        </w:rPr>
        <w:t>sICH</w:t>
      </w:r>
      <w:proofErr w:type="spellEnd"/>
      <w:r w:rsidR="00D5248A" w:rsidRPr="00814CA5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A84302" w:rsidRPr="00814CA5">
        <w:rPr>
          <w:rFonts w:asciiTheme="majorBidi" w:hAnsiTheme="majorBidi" w:cstheme="majorBidi"/>
          <w:bCs/>
          <w:sz w:val="20"/>
          <w:szCs w:val="20"/>
        </w:rPr>
        <w:t xml:space="preserve">(2% vs 5%, </w:t>
      </w:r>
      <w:r w:rsidR="00A84302" w:rsidRPr="00814CA5">
        <w:rPr>
          <w:rFonts w:asciiTheme="majorBidi" w:hAnsiTheme="majorBidi" w:cstheme="majorBidi"/>
          <w:bCs/>
          <w:i/>
          <w:iCs/>
          <w:sz w:val="20"/>
          <w:szCs w:val="20"/>
        </w:rPr>
        <w:t>P</w:t>
      </w:r>
      <w:r w:rsidR="00A84302" w:rsidRPr="00814CA5">
        <w:rPr>
          <w:rFonts w:asciiTheme="majorBidi" w:hAnsiTheme="majorBidi" w:cstheme="majorBidi"/>
          <w:bCs/>
          <w:sz w:val="20"/>
          <w:szCs w:val="20"/>
        </w:rPr>
        <w:t>=0.69) were similar.</w:t>
      </w:r>
      <w:r w:rsidR="00BF06C8">
        <w:rPr>
          <w:rFonts w:asciiTheme="majorBidi" w:hAnsiTheme="majorBidi" w:cstheme="majorBidi"/>
          <w:bCs/>
          <w:sz w:val="20"/>
          <w:szCs w:val="20"/>
        </w:rPr>
        <w:t xml:space="preserve"> </w:t>
      </w:r>
      <w:r w:rsidR="007E2056">
        <w:rPr>
          <w:rFonts w:asciiTheme="majorBidi" w:hAnsiTheme="majorBidi" w:cstheme="majorBidi"/>
          <w:bCs/>
          <w:sz w:val="20"/>
          <w:szCs w:val="20"/>
        </w:rPr>
        <w:t xml:space="preserve"> </w:t>
      </w:r>
    </w:p>
    <w:p w14:paraId="37431DAF" w14:textId="2B092C2D" w:rsidR="00C82437" w:rsidRPr="00814CA5" w:rsidRDefault="00C82437" w:rsidP="006C5AC7">
      <w:pPr>
        <w:spacing w:line="0" w:lineRule="atLeast"/>
        <w:jc w:val="both"/>
        <w:rPr>
          <w:rFonts w:asciiTheme="majorBidi" w:hAnsiTheme="majorBidi" w:cstheme="majorBidi"/>
          <w:bCs/>
          <w:sz w:val="20"/>
          <w:szCs w:val="20"/>
        </w:rPr>
      </w:pPr>
    </w:p>
    <w:p w14:paraId="5595F10F" w14:textId="26A4084E" w:rsidR="006C5AC7" w:rsidRPr="006B71B1" w:rsidRDefault="006C5AC7" w:rsidP="006C5AC7">
      <w:pPr>
        <w:spacing w:line="0" w:lineRule="atLeast"/>
        <w:jc w:val="both"/>
        <w:rPr>
          <w:rFonts w:asciiTheme="majorBidi" w:hAnsiTheme="majorBidi" w:cstheme="majorBidi"/>
          <w:b/>
          <w:i/>
          <w:iCs/>
          <w:sz w:val="20"/>
          <w:szCs w:val="20"/>
        </w:rPr>
      </w:pPr>
      <w:r w:rsidRPr="006B71B1">
        <w:rPr>
          <w:rFonts w:asciiTheme="majorBidi" w:hAnsiTheme="majorBidi" w:cstheme="majorBidi"/>
          <w:b/>
          <w:i/>
          <w:iCs/>
          <w:sz w:val="20"/>
          <w:szCs w:val="20"/>
        </w:rPr>
        <w:t>Conclusion:</w:t>
      </w:r>
    </w:p>
    <w:p w14:paraId="02523410" w14:textId="753D9EBC" w:rsidR="00A84302" w:rsidRPr="007E2056" w:rsidRDefault="0000116E" w:rsidP="007E2056">
      <w:pPr>
        <w:spacing w:line="0" w:lineRule="atLeast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 xml:space="preserve">There were significant time latencies in the management of in-hospital onset </w:t>
      </w:r>
      <w:r w:rsidR="007E2056">
        <w:rPr>
          <w:rFonts w:asciiTheme="majorBidi" w:hAnsiTheme="majorBidi" w:cstheme="majorBidi"/>
          <w:bCs/>
          <w:sz w:val="20"/>
          <w:szCs w:val="20"/>
        </w:rPr>
        <w:t>LVOs</w:t>
      </w:r>
      <w:r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BF61A7">
        <w:rPr>
          <w:rFonts w:asciiTheme="majorBidi" w:hAnsiTheme="majorBidi" w:cstheme="majorBidi"/>
          <w:bCs/>
          <w:sz w:val="20"/>
          <w:szCs w:val="20"/>
        </w:rPr>
        <w:t>This</w:t>
      </w:r>
      <w:r w:rsidR="00E40CC1">
        <w:rPr>
          <w:rFonts w:asciiTheme="majorBidi" w:hAnsiTheme="majorBidi" w:cstheme="majorBidi"/>
          <w:bCs/>
          <w:sz w:val="20"/>
          <w:szCs w:val="20"/>
        </w:rPr>
        <w:t xml:space="preserve"> may represent missed opportunities in the management of hyperacute stroke</w:t>
      </w:r>
      <w:r w:rsidR="000B0299">
        <w:rPr>
          <w:rFonts w:asciiTheme="majorBidi" w:hAnsiTheme="majorBidi" w:cstheme="majorBidi"/>
          <w:bCs/>
          <w:sz w:val="20"/>
          <w:szCs w:val="20"/>
        </w:rPr>
        <w:t xml:space="preserve">. </w:t>
      </w:r>
      <w:r w:rsidR="007E2056">
        <w:rPr>
          <w:rFonts w:asciiTheme="majorBidi" w:hAnsiTheme="majorBidi" w:cstheme="majorBidi"/>
          <w:bCs/>
          <w:sz w:val="20"/>
          <w:szCs w:val="20"/>
        </w:rPr>
        <w:t>Pre-specified pathways and revolutions in workflow sequence are needed to close the gap with community</w:t>
      </w:r>
      <w:r w:rsidR="00E17418">
        <w:rPr>
          <w:rFonts w:asciiTheme="majorBidi" w:hAnsiTheme="majorBidi" w:cstheme="majorBidi"/>
          <w:bCs/>
          <w:sz w:val="20"/>
          <w:szCs w:val="20"/>
        </w:rPr>
        <w:t>-</w:t>
      </w:r>
      <w:r w:rsidR="007E2056">
        <w:rPr>
          <w:rFonts w:asciiTheme="majorBidi" w:hAnsiTheme="majorBidi" w:cstheme="majorBidi"/>
          <w:bCs/>
          <w:sz w:val="20"/>
          <w:szCs w:val="20"/>
        </w:rPr>
        <w:t xml:space="preserve">onset LVOs. </w:t>
      </w:r>
    </w:p>
    <w:p w14:paraId="4D8EB5AC" w14:textId="77777777" w:rsidR="00646076" w:rsidRPr="00814CA5" w:rsidRDefault="00646076">
      <w:pPr>
        <w:rPr>
          <w:sz w:val="20"/>
          <w:szCs w:val="20"/>
        </w:rPr>
      </w:pPr>
    </w:p>
    <w:sectPr w:rsidR="00646076" w:rsidRPr="00814CA5" w:rsidSect="000B2620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0833" w14:textId="77777777" w:rsidR="00FE7E98" w:rsidRDefault="00FE7E98">
      <w:r>
        <w:separator/>
      </w:r>
    </w:p>
  </w:endnote>
  <w:endnote w:type="continuationSeparator" w:id="0">
    <w:p w14:paraId="312889FF" w14:textId="77777777" w:rsidR="00FE7E98" w:rsidRDefault="00FE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8B198" w14:textId="77777777" w:rsidR="00FE7E98" w:rsidRDefault="00FE7E98">
      <w:r>
        <w:separator/>
      </w:r>
    </w:p>
  </w:footnote>
  <w:footnote w:type="continuationSeparator" w:id="0">
    <w:p w14:paraId="2CE240C5" w14:textId="77777777" w:rsidR="00FE7E98" w:rsidRDefault="00FE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079E" w14:textId="77777777" w:rsidR="00452CC5" w:rsidRPr="003721AC" w:rsidRDefault="00007EE0">
    <w:pPr>
      <w:pStyle w:val="Header"/>
      <w:rPr>
        <w:lang w:val="en-GB"/>
      </w:rPr>
    </w:pPr>
    <w:r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C7"/>
    <w:rsid w:val="0000116E"/>
    <w:rsid w:val="00005073"/>
    <w:rsid w:val="00007EE0"/>
    <w:rsid w:val="00015B29"/>
    <w:rsid w:val="00037710"/>
    <w:rsid w:val="00093947"/>
    <w:rsid w:val="000B0299"/>
    <w:rsid w:val="000E32D8"/>
    <w:rsid w:val="00104123"/>
    <w:rsid w:val="001B2A34"/>
    <w:rsid w:val="001B6509"/>
    <w:rsid w:val="001C54DA"/>
    <w:rsid w:val="002022D6"/>
    <w:rsid w:val="002111BE"/>
    <w:rsid w:val="002160A0"/>
    <w:rsid w:val="002823A4"/>
    <w:rsid w:val="002C0DFA"/>
    <w:rsid w:val="002F7218"/>
    <w:rsid w:val="00315CAC"/>
    <w:rsid w:val="00356937"/>
    <w:rsid w:val="003769C0"/>
    <w:rsid w:val="00392251"/>
    <w:rsid w:val="003C06C0"/>
    <w:rsid w:val="003C77DB"/>
    <w:rsid w:val="00431F66"/>
    <w:rsid w:val="00441A95"/>
    <w:rsid w:val="00473918"/>
    <w:rsid w:val="004C0E10"/>
    <w:rsid w:val="004E4D2E"/>
    <w:rsid w:val="00554309"/>
    <w:rsid w:val="00561D98"/>
    <w:rsid w:val="005735E0"/>
    <w:rsid w:val="005C204B"/>
    <w:rsid w:val="00607555"/>
    <w:rsid w:val="006250B8"/>
    <w:rsid w:val="006330C5"/>
    <w:rsid w:val="00643F93"/>
    <w:rsid w:val="00646076"/>
    <w:rsid w:val="006640EF"/>
    <w:rsid w:val="00694E00"/>
    <w:rsid w:val="006A1A4A"/>
    <w:rsid w:val="006A3217"/>
    <w:rsid w:val="006B16F5"/>
    <w:rsid w:val="006B71B1"/>
    <w:rsid w:val="006C5AC7"/>
    <w:rsid w:val="007117D6"/>
    <w:rsid w:val="00733AB6"/>
    <w:rsid w:val="007879B8"/>
    <w:rsid w:val="007A56AE"/>
    <w:rsid w:val="007D32A7"/>
    <w:rsid w:val="007E02A3"/>
    <w:rsid w:val="007E2056"/>
    <w:rsid w:val="00804CFB"/>
    <w:rsid w:val="00814CA5"/>
    <w:rsid w:val="00825518"/>
    <w:rsid w:val="008761D1"/>
    <w:rsid w:val="00894A0D"/>
    <w:rsid w:val="008D3AEE"/>
    <w:rsid w:val="008E27CD"/>
    <w:rsid w:val="008F535A"/>
    <w:rsid w:val="00954AC3"/>
    <w:rsid w:val="0097579A"/>
    <w:rsid w:val="00996333"/>
    <w:rsid w:val="009968DA"/>
    <w:rsid w:val="009C65A5"/>
    <w:rsid w:val="009F19F8"/>
    <w:rsid w:val="00A10786"/>
    <w:rsid w:val="00A37DA2"/>
    <w:rsid w:val="00A408A2"/>
    <w:rsid w:val="00A57295"/>
    <w:rsid w:val="00A67337"/>
    <w:rsid w:val="00A84302"/>
    <w:rsid w:val="00AB63A4"/>
    <w:rsid w:val="00B40847"/>
    <w:rsid w:val="00B43BAE"/>
    <w:rsid w:val="00B5487F"/>
    <w:rsid w:val="00BB2CFF"/>
    <w:rsid w:val="00BF06C8"/>
    <w:rsid w:val="00BF61A7"/>
    <w:rsid w:val="00BF6E17"/>
    <w:rsid w:val="00C82437"/>
    <w:rsid w:val="00C97EB2"/>
    <w:rsid w:val="00CA06B9"/>
    <w:rsid w:val="00CD38AD"/>
    <w:rsid w:val="00D13579"/>
    <w:rsid w:val="00D2160F"/>
    <w:rsid w:val="00D5248A"/>
    <w:rsid w:val="00D7006B"/>
    <w:rsid w:val="00D70DB3"/>
    <w:rsid w:val="00D74E0B"/>
    <w:rsid w:val="00D81100"/>
    <w:rsid w:val="00D97033"/>
    <w:rsid w:val="00DD5BB3"/>
    <w:rsid w:val="00E17418"/>
    <w:rsid w:val="00E40CC1"/>
    <w:rsid w:val="00EB1454"/>
    <w:rsid w:val="00EF6D93"/>
    <w:rsid w:val="00FE7E98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AA631"/>
  <w15:chartTrackingRefBased/>
  <w15:docId w15:val="{774FCDC5-9F8E-E442-80AB-B6D7FF81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C7"/>
    <w:pPr>
      <w:widowControl w:val="0"/>
    </w:pPr>
    <w:rPr>
      <w:kern w:val="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C5AC7"/>
    <w:rPr>
      <w:kern w:val="2"/>
      <w:sz w:val="20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chrishiu@connect.hku.hk</dc:creator>
  <cp:keywords/>
  <dc:description/>
  <cp:lastModifiedBy>chrishiu@connect.hku.hk</cp:lastModifiedBy>
  <cp:revision>2</cp:revision>
  <dcterms:created xsi:type="dcterms:W3CDTF">2021-09-06T04:56:00Z</dcterms:created>
  <dcterms:modified xsi:type="dcterms:W3CDTF">2021-09-06T04:56:00Z</dcterms:modified>
</cp:coreProperties>
</file>