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Title:</w:t>
      </w:r>
    </w:p>
    <w:p>
      <w:pPr>
        <w:pStyle w:val="Heading 2"/>
        <w:bidi w:val="0"/>
      </w:pPr>
      <w:r>
        <w:rPr>
          <w:rtl w:val="0"/>
        </w:rPr>
        <w:t xml:space="preserve">Does </w:t>
      </w:r>
      <w:r>
        <w:rPr>
          <w:rtl w:val="0"/>
        </w:rPr>
        <w:t xml:space="preserve">scheduled </w:t>
      </w:r>
      <w:r>
        <w:rPr>
          <w:rtl w:val="0"/>
        </w:rPr>
        <w:t>progress computed tomography of the brain alter management in patients with intracranial haemorrhage</w:t>
      </w:r>
      <w:r>
        <w:rPr>
          <w:rtl w:val="0"/>
        </w:rPr>
        <w:t xml:space="preserve"> from traumatic brain injury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Authors: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u w:val="single"/>
          <w:rtl w:val="0"/>
          <w:lang w:val="en-US"/>
        </w:rPr>
        <w:t>LUK Kin Long Ben</w:t>
      </w:r>
      <w:r>
        <w:rPr>
          <w:sz w:val="24"/>
          <w:szCs w:val="24"/>
          <w:rtl w:val="0"/>
          <w:lang w:val="en-US"/>
        </w:rPr>
        <w:t>, HO Wan Nok, HO Man Kit, YAM Kwong Yui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Institution: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Department of Neurosurgery, Tuen Mun Hospital, Hong Kong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Abstract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fr-FR"/>
        </w:rPr>
        <w:t>Objective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To evaluate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  <w:lang w:val="en-US"/>
        </w:rPr>
        <w:t>efficacy</w:t>
      </w:r>
      <w:r>
        <w:rPr>
          <w:sz w:val="24"/>
          <w:szCs w:val="24"/>
          <w:rtl w:val="0"/>
          <w:lang w:val="en-US"/>
        </w:rPr>
        <w:t xml:space="preserve"> of scheduled progress CT brain in the management of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traumatic brain injury with intracranial haemorrhage.</w:t>
      </w:r>
      <w:r>
        <w:rPr>
          <w:sz w:val="24"/>
          <w:szCs w:val="24"/>
          <w:rtl w:val="0"/>
          <w:lang w:val="en-US"/>
        </w:rPr>
        <w:t xml:space="preserve"> Secondary aim is t</w:t>
      </w:r>
      <w:r>
        <w:rPr>
          <w:sz w:val="24"/>
          <w:szCs w:val="24"/>
          <w:rtl w:val="0"/>
          <w:lang w:val="en-US"/>
        </w:rPr>
        <w:t xml:space="preserve">o identify patients with risk factors who would benefit from a </w:t>
      </w:r>
      <w:r>
        <w:rPr>
          <w:sz w:val="24"/>
          <w:szCs w:val="24"/>
          <w:rtl w:val="0"/>
          <w:lang w:val="en-US"/>
        </w:rPr>
        <w:t xml:space="preserve">scheduled </w:t>
      </w:r>
      <w:r>
        <w:rPr>
          <w:sz w:val="24"/>
          <w:szCs w:val="24"/>
          <w:rtl w:val="0"/>
          <w:lang w:val="en-US"/>
        </w:rPr>
        <w:t>progress CT brain.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en-US"/>
        </w:rPr>
        <w:t>Method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This is a retrospective cohort study.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Inclusion criteria were patients who sustained a traumatic brain injury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 the presence of intracranial haemorrhage</w:t>
      </w:r>
      <w:r>
        <w:rPr>
          <w:sz w:val="24"/>
          <w:szCs w:val="24"/>
          <w:rtl w:val="0"/>
          <w:lang w:val="en-US"/>
        </w:rPr>
        <w:t xml:space="preserve"> in the year of 2020</w:t>
      </w:r>
      <w:r>
        <w:rPr>
          <w:sz w:val="24"/>
          <w:szCs w:val="24"/>
          <w:rtl w:val="0"/>
          <w:lang w:val="en-US"/>
        </w:rPr>
        <w:t>. Patients who underwent neurosurgical operation on arrival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and those who received progress CT brain beyond 12 hours from the first </w:t>
      </w:r>
      <w:r>
        <w:rPr>
          <w:sz w:val="24"/>
          <w:szCs w:val="24"/>
          <w:rtl w:val="0"/>
          <w:lang w:val="en-US"/>
        </w:rPr>
        <w:t>scan</w:t>
      </w:r>
      <w:r>
        <w:rPr>
          <w:sz w:val="24"/>
          <w:szCs w:val="24"/>
          <w:rtl w:val="0"/>
          <w:lang w:val="en-US"/>
        </w:rPr>
        <w:t xml:space="preserve"> were excluded from the study. Demographics analysed included age, gender, </w:t>
      </w:r>
      <w:r>
        <w:rPr>
          <w:sz w:val="24"/>
          <w:szCs w:val="24"/>
          <w:rtl w:val="0"/>
          <w:lang w:val="en-US"/>
        </w:rPr>
        <w:t>Glasgow Coma Scale (</w:t>
      </w:r>
      <w:r>
        <w:rPr>
          <w:sz w:val="24"/>
          <w:szCs w:val="24"/>
          <w:rtl w:val="0"/>
        </w:rPr>
        <w:t>GCS</w:t>
      </w:r>
      <w:r>
        <w:rPr>
          <w:sz w:val="24"/>
          <w:szCs w:val="24"/>
          <w:rtl w:val="0"/>
          <w:lang w:val="en-US"/>
        </w:rPr>
        <w:t>),</w:t>
      </w:r>
      <w:r>
        <w:rPr>
          <w:sz w:val="24"/>
          <w:szCs w:val="24"/>
          <w:rtl w:val="0"/>
          <w:lang w:val="en-US"/>
        </w:rPr>
        <w:t xml:space="preserve"> systolic blood pressure, mechanism of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injury, pathology, time between first and scheduled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progress CT brain, presence of </w:t>
      </w:r>
      <w:r>
        <w:rPr>
          <w:sz w:val="24"/>
          <w:szCs w:val="24"/>
          <w:rtl w:val="0"/>
          <w:lang w:val="en-US"/>
        </w:rPr>
        <w:t>neurological decline</w:t>
      </w:r>
      <w:r>
        <w:rPr>
          <w:sz w:val="24"/>
          <w:szCs w:val="24"/>
          <w:rtl w:val="0"/>
          <w:lang w:val="en-US"/>
        </w:rPr>
        <w:t xml:space="preserve"> and drug history. Statistical analysis were carried out by SPSS with P value of &lt;0.05 as significant cutoff.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en-US"/>
        </w:rPr>
        <w:t>Result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 total of 304 cases were recruited. After exclusions, 206 cases were analysed. Majority of injury mechanism was fall on same level (76.7%). Mean age was 68. Interval enlargement of intracranial haemorrhage in progress CT brain was observed in 11.7% of cases. 8.3% of cases underwent neurosurgical intervention subsequently, all of whom presented with a neurological decline. Warfarin use and the presence of intracerebral contusion were risk factors for neurological decline.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en-US"/>
        </w:rPr>
        <w:t>Conclusion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Scheduled progress CT brain does not alter neurosurgical intervention in patients without clinical deterioration. Patients with warfarin use or intracerebral contusion have a higher risk of neurological decline who might benefit from a progress CT brain.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sz w:val="20"/>
          <w:szCs w:val="20"/>
          <w:rtl w:val="0"/>
          <w:lang w:val="en-US"/>
        </w:rPr>
        <w:t>Words: 248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