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3"/>
      </w:tblGrid>
      <w:tr w:rsidR="00475704" w:rsidTr="002569C3">
        <w:tc>
          <w:tcPr>
            <w:tcW w:w="9083" w:type="dxa"/>
            <w:shd w:val="clear" w:color="auto" w:fill="F2F2F2" w:themeFill="background1" w:themeFillShade="F2"/>
          </w:tcPr>
          <w:p w:rsidR="00475704" w:rsidRPr="001419C0" w:rsidRDefault="00475704" w:rsidP="004668B2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19C0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:rsidR="004B696F" w:rsidRPr="001419C0" w:rsidRDefault="004B696F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1419C0" w:rsidRDefault="004B696F" w:rsidP="004B69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9C0">
              <w:rPr>
                <w:rFonts w:ascii="Times New Roman" w:hAnsi="Times New Roman" w:cs="Times New Roman"/>
                <w:sz w:val="20"/>
              </w:rPr>
              <w:t xml:space="preserve">Inhibition of C-X-C Motif Chemokine Receptor 3 (CXCR3) improves </w:t>
            </w:r>
            <w:r w:rsidR="005E4EDC">
              <w:rPr>
                <w:rFonts w:ascii="Times New Roman" w:hAnsi="Times New Roman" w:cs="Times New Roman"/>
                <w:sz w:val="20"/>
              </w:rPr>
              <w:t xml:space="preserve">the 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outcomes </w:t>
            </w:r>
            <w:r w:rsidR="003A21E9" w:rsidRPr="001419C0">
              <w:rPr>
                <w:rFonts w:ascii="Times New Roman" w:hAnsi="Times New Roman" w:cs="Times New Roman"/>
                <w:sz w:val="20"/>
              </w:rPr>
              <w:t>of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 intracerebral hemorrhage</w:t>
            </w:r>
          </w:p>
          <w:p w:rsidR="004B696F" w:rsidRPr="001419C0" w:rsidRDefault="004B696F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B696F" w:rsidRPr="001419C0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1419C0">
              <w:rPr>
                <w:rFonts w:ascii="Times New Roman" w:hAnsi="Times New Roman" w:cs="Times New Roman"/>
                <w:b/>
                <w:sz w:val="20"/>
              </w:rPr>
              <w:t>Authors: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696F" w:rsidRPr="001419C0" w:rsidRDefault="004B696F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1419C0" w:rsidRDefault="004B696F" w:rsidP="004B696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9C0">
              <w:rPr>
                <w:rFonts w:ascii="Times New Roman" w:hAnsi="Times New Roman" w:cs="Times New Roman"/>
                <w:sz w:val="20"/>
                <w:u w:val="single"/>
              </w:rPr>
              <w:t>NG</w:t>
            </w:r>
            <w:r w:rsidR="00475704" w:rsidRPr="001419C0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1419C0">
              <w:rPr>
                <w:rFonts w:ascii="Times New Roman" w:hAnsi="Times New Roman" w:cs="Times New Roman"/>
                <w:sz w:val="20"/>
                <w:u w:val="single"/>
              </w:rPr>
              <w:t>Anson Cho Kiu</w:t>
            </w:r>
            <w:r w:rsidR="00475704" w:rsidRPr="001419C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="00475704" w:rsidRPr="001419C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419C0">
              <w:rPr>
                <w:rFonts w:ascii="Times New Roman" w:hAnsi="Times New Roman" w:cs="Times New Roman"/>
                <w:sz w:val="20"/>
              </w:rPr>
              <w:t>LIU</w:t>
            </w:r>
            <w:r w:rsidR="00475704" w:rsidRPr="001419C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Cathy </w:t>
            </w:r>
            <w:proofErr w:type="spellStart"/>
            <w:r w:rsidRPr="001419C0">
              <w:rPr>
                <w:rFonts w:ascii="Times New Roman" w:hAnsi="Times New Roman" w:cs="Times New Roman"/>
                <w:sz w:val="20"/>
              </w:rPr>
              <w:t>Jia</w:t>
            </w:r>
            <w:proofErr w:type="spellEnd"/>
            <w:r w:rsidRPr="001419C0">
              <w:rPr>
                <w:rFonts w:ascii="Times New Roman" w:hAnsi="Times New Roman" w:cs="Times New Roman"/>
                <w:sz w:val="20"/>
              </w:rPr>
              <w:t xml:space="preserve"> Xin</w:t>
            </w:r>
            <w:r w:rsidRPr="001419C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="00475704" w:rsidRPr="001419C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419C0">
              <w:rPr>
                <w:rFonts w:ascii="Times New Roman" w:hAnsi="Times New Roman" w:cs="Times New Roman"/>
                <w:sz w:val="20"/>
              </w:rPr>
              <w:t>KIANG Karrie Mei Yee</w:t>
            </w:r>
            <w:r w:rsidRPr="001419C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="00475704" w:rsidRPr="001419C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ZHU John </w:t>
            </w:r>
            <w:proofErr w:type="spellStart"/>
            <w:r w:rsidRPr="001419C0">
              <w:rPr>
                <w:rFonts w:ascii="Times New Roman" w:hAnsi="Times New Roman" w:cs="Times New Roman"/>
                <w:sz w:val="20"/>
              </w:rPr>
              <w:t>Zhi</w:t>
            </w:r>
            <w:proofErr w:type="spellEnd"/>
            <w:r w:rsidRPr="001419C0">
              <w:rPr>
                <w:rFonts w:ascii="Times New Roman" w:hAnsi="Times New Roman" w:cs="Times New Roman"/>
                <w:sz w:val="20"/>
              </w:rPr>
              <w:t xml:space="preserve"> Yuan</w:t>
            </w:r>
            <w:r w:rsidRPr="001419C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, CHAU Katrina </w:t>
            </w:r>
            <w:proofErr w:type="spellStart"/>
            <w:r w:rsidRPr="001419C0">
              <w:rPr>
                <w:rFonts w:ascii="Times New Roman" w:hAnsi="Times New Roman" w:cs="Times New Roman"/>
                <w:sz w:val="20"/>
              </w:rPr>
              <w:t>Cheuk</w:t>
            </w:r>
            <w:proofErr w:type="spellEnd"/>
            <w:r w:rsidRPr="001419C0">
              <w:rPr>
                <w:rFonts w:ascii="Times New Roman" w:hAnsi="Times New Roman" w:cs="Times New Roman"/>
                <w:sz w:val="20"/>
              </w:rPr>
              <w:t xml:space="preserve"> Wai</w:t>
            </w:r>
            <w:r w:rsidRPr="001419C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, LAM </w:t>
            </w:r>
            <w:proofErr w:type="spellStart"/>
            <w:r w:rsidRPr="001419C0">
              <w:rPr>
                <w:rFonts w:ascii="Times New Roman" w:hAnsi="Times New Roman" w:cs="Times New Roman"/>
                <w:sz w:val="20"/>
              </w:rPr>
              <w:t>Tsz</w:t>
            </w:r>
            <w:proofErr w:type="spellEnd"/>
            <w:r w:rsidRPr="001419C0">
              <w:rPr>
                <w:rFonts w:ascii="Times New Roman" w:hAnsi="Times New Roman" w:cs="Times New Roman"/>
                <w:sz w:val="20"/>
              </w:rPr>
              <w:t xml:space="preserve"> Lung</w:t>
            </w:r>
            <w:r w:rsidRPr="001419C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, LEUNG Gilberto </w:t>
            </w:r>
            <w:proofErr w:type="spellStart"/>
            <w:r w:rsidRPr="001419C0">
              <w:rPr>
                <w:rFonts w:ascii="Times New Roman" w:hAnsi="Times New Roman" w:cs="Times New Roman"/>
                <w:sz w:val="20"/>
              </w:rPr>
              <w:t>Ka</w:t>
            </w:r>
            <w:proofErr w:type="spellEnd"/>
            <w:r w:rsidRPr="001419C0">
              <w:rPr>
                <w:rFonts w:ascii="Times New Roman" w:hAnsi="Times New Roman" w:cs="Times New Roman"/>
                <w:sz w:val="20"/>
              </w:rPr>
              <w:t xml:space="preserve"> Kit</w:t>
            </w:r>
            <w:r w:rsidRPr="001419C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19C0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:rsidR="004B696F" w:rsidRPr="001419C0" w:rsidRDefault="004B696F" w:rsidP="0047570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1419C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1419C0">
              <w:rPr>
                <w:rFonts w:ascii="Times New Roman" w:hAnsi="Times New Roman" w:cs="Times New Roman"/>
                <w:sz w:val="20"/>
              </w:rPr>
              <w:t>Division of Neurosurgery, Department of Surgery,</w:t>
            </w:r>
            <w:r w:rsidR="004B696F" w:rsidRPr="001419C0">
              <w:rPr>
                <w:rFonts w:ascii="Times New Roman" w:hAnsi="Times New Roman" w:cs="Times New Roman"/>
                <w:sz w:val="20"/>
              </w:rPr>
              <w:t xml:space="preserve"> The University of Hong Kong. </w:t>
            </w: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1419C0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419C0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1419C0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4B696F" w:rsidRPr="001419C0" w:rsidRDefault="004B696F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1419C0">
              <w:rPr>
                <w:rFonts w:ascii="Times New Roman" w:hAnsi="Times New Roman" w:cs="Times New Roman"/>
                <w:sz w:val="20"/>
              </w:rPr>
              <w:t xml:space="preserve">To </w:t>
            </w:r>
            <w:r w:rsidR="004B696F" w:rsidRPr="001419C0">
              <w:rPr>
                <w:rFonts w:ascii="Times New Roman" w:hAnsi="Times New Roman" w:cs="Times New Roman"/>
                <w:sz w:val="20"/>
              </w:rPr>
              <w:t xml:space="preserve">examine the effects of inhibition of CXCR3, a chemokine receptor, on the outcomes of experimental intracerebral hemorrhage (ICH) and to explore the potential underlying mechanism. </w:t>
            </w: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419C0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:rsidR="004B696F" w:rsidRPr="001419C0" w:rsidRDefault="004B696F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1419C0" w:rsidRDefault="001442C2" w:rsidP="003A21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9C0">
              <w:rPr>
                <w:rFonts w:ascii="Times New Roman" w:hAnsi="Times New Roman" w:cs="Times New Roman"/>
                <w:sz w:val="20"/>
              </w:rPr>
              <w:t xml:space="preserve">Wild-type C57BL/6N and CXCR3 Knock-Out mice were used in this study. </w:t>
            </w:r>
            <w:r w:rsidR="004B696F" w:rsidRPr="001419C0">
              <w:rPr>
                <w:rFonts w:ascii="Times New Roman" w:hAnsi="Times New Roman" w:cs="Times New Roman"/>
                <w:sz w:val="20"/>
              </w:rPr>
              <w:t xml:space="preserve">Experimental 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ICH was induced via intra-striatal injection of 0.04U Type IV collagenase in 0.5ul of 0.9% normal saline. The cylinder test, </w:t>
            </w:r>
            <w:proofErr w:type="spellStart"/>
            <w:r w:rsidRPr="001419C0">
              <w:rPr>
                <w:rFonts w:ascii="Times New Roman" w:hAnsi="Times New Roman" w:cs="Times New Roman"/>
                <w:sz w:val="20"/>
              </w:rPr>
              <w:t>rotarod</w:t>
            </w:r>
            <w:proofErr w:type="spellEnd"/>
            <w:r w:rsidRPr="001419C0">
              <w:rPr>
                <w:rFonts w:ascii="Times New Roman" w:hAnsi="Times New Roman" w:cs="Times New Roman"/>
                <w:sz w:val="20"/>
              </w:rPr>
              <w:t xml:space="preserve"> test and grid walking test were used to assess motor outcomes. </w:t>
            </w:r>
            <w:r w:rsidR="007B583A" w:rsidRPr="001419C0">
              <w:rPr>
                <w:rFonts w:ascii="Times New Roman" w:hAnsi="Times New Roman" w:cs="Times New Roman"/>
                <w:sz w:val="20"/>
              </w:rPr>
              <w:t>Demyelination was examined by transmission electron microscopy and immunofluorescence staining. Real-time quantitative polymerase chain reaction was used to quantify the relative mRNA expression levels of CXCR3 and pro-inflammatory markers. The cell type</w:t>
            </w:r>
            <w:r w:rsidR="003A21E9" w:rsidRPr="001419C0">
              <w:rPr>
                <w:rFonts w:ascii="Times New Roman" w:hAnsi="Times New Roman" w:cs="Times New Roman"/>
                <w:sz w:val="20"/>
              </w:rPr>
              <w:t>s</w:t>
            </w:r>
            <w:r w:rsidR="007B583A" w:rsidRPr="001419C0">
              <w:rPr>
                <w:rFonts w:ascii="Times New Roman" w:hAnsi="Times New Roman" w:cs="Times New Roman"/>
                <w:sz w:val="20"/>
              </w:rPr>
              <w:t xml:space="preserve"> that expressed CXCR3 and the </w:t>
            </w:r>
            <w:r w:rsidR="003A21E9" w:rsidRPr="001419C0">
              <w:rPr>
                <w:rFonts w:ascii="Times New Roman" w:hAnsi="Times New Roman" w:cs="Times New Roman"/>
                <w:sz w:val="20"/>
              </w:rPr>
              <w:t>changes in</w:t>
            </w:r>
            <w:r w:rsidR="007B583A" w:rsidRPr="001419C0">
              <w:rPr>
                <w:rFonts w:ascii="Times New Roman" w:hAnsi="Times New Roman" w:cs="Times New Roman"/>
                <w:sz w:val="20"/>
              </w:rPr>
              <w:t xml:space="preserve"> the </w:t>
            </w:r>
            <w:r w:rsidR="003A21E9" w:rsidRPr="001419C0">
              <w:rPr>
                <w:rFonts w:ascii="Times New Roman" w:hAnsi="Times New Roman" w:cs="Times New Roman"/>
                <w:sz w:val="20"/>
              </w:rPr>
              <w:t xml:space="preserve">percentages of various </w:t>
            </w:r>
            <w:r w:rsidR="007B583A" w:rsidRPr="001419C0">
              <w:rPr>
                <w:rFonts w:ascii="Times New Roman" w:hAnsi="Times New Roman" w:cs="Times New Roman"/>
                <w:sz w:val="20"/>
              </w:rPr>
              <w:t>cell population</w:t>
            </w:r>
            <w:r w:rsidR="003A21E9" w:rsidRPr="001419C0">
              <w:rPr>
                <w:rFonts w:ascii="Times New Roman" w:hAnsi="Times New Roman" w:cs="Times New Roman"/>
                <w:sz w:val="20"/>
              </w:rPr>
              <w:t>s</w:t>
            </w:r>
            <w:r w:rsidR="007B583A" w:rsidRPr="001419C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A21E9" w:rsidRPr="001419C0">
              <w:rPr>
                <w:rFonts w:ascii="Times New Roman" w:hAnsi="Times New Roman" w:cs="Times New Roman"/>
                <w:sz w:val="20"/>
              </w:rPr>
              <w:t xml:space="preserve">in brain and blood </w:t>
            </w:r>
            <w:r w:rsidR="007B583A" w:rsidRPr="001419C0">
              <w:rPr>
                <w:rFonts w:ascii="Times New Roman" w:hAnsi="Times New Roman" w:cs="Times New Roman"/>
                <w:sz w:val="20"/>
              </w:rPr>
              <w:t>were detected by flow cytometry</w:t>
            </w:r>
            <w:r w:rsidR="003A21E9" w:rsidRPr="001419C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419C0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B696F" w:rsidRPr="001419C0" w:rsidRDefault="009C0E1F" w:rsidP="001419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9C0">
              <w:rPr>
                <w:rFonts w:ascii="Times New Roman" w:hAnsi="Times New Roman" w:cs="Times New Roman"/>
                <w:sz w:val="20"/>
              </w:rPr>
              <w:t xml:space="preserve">CXCR3 Knock-Out mice had better motor functions especially in the first week after ICH. The degree of demyelination of the CXCR3 Knock-out mice was less severe compared to that of the Wild-Type mice. </w:t>
            </w:r>
            <w:r w:rsidR="001419C0" w:rsidRPr="001419C0">
              <w:rPr>
                <w:rFonts w:ascii="Times New Roman" w:hAnsi="Times New Roman" w:cs="Times New Roman"/>
                <w:sz w:val="20"/>
              </w:rPr>
              <w:t xml:space="preserve">The relative expression levels of several pro-inflammatory markers are under investigation. 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CXCR3 mRNA expression was upregulated in the </w:t>
            </w:r>
            <w:proofErr w:type="spellStart"/>
            <w:r w:rsidRPr="001419C0">
              <w:rPr>
                <w:rFonts w:ascii="Times New Roman" w:hAnsi="Times New Roman" w:cs="Times New Roman"/>
                <w:sz w:val="20"/>
              </w:rPr>
              <w:t>perihaematomal</w:t>
            </w:r>
            <w:proofErr w:type="spellEnd"/>
            <w:r w:rsidRPr="001419C0">
              <w:rPr>
                <w:rFonts w:ascii="Times New Roman" w:hAnsi="Times New Roman" w:cs="Times New Roman"/>
                <w:sz w:val="20"/>
              </w:rPr>
              <w:t xml:space="preserve"> area but not in the contralateral hemisphere. </w:t>
            </w:r>
            <w:r w:rsidR="001419C0" w:rsidRPr="001419C0">
              <w:rPr>
                <w:rFonts w:ascii="Times New Roman" w:hAnsi="Times New Roman" w:cs="Times New Roman"/>
                <w:sz w:val="20"/>
              </w:rPr>
              <w:t xml:space="preserve">A subpopulation of </w:t>
            </w:r>
            <w:r w:rsidRPr="001419C0">
              <w:rPr>
                <w:rFonts w:ascii="Times New Roman" w:hAnsi="Times New Roman" w:cs="Times New Roman"/>
                <w:sz w:val="20"/>
              </w:rPr>
              <w:t>T cells w</w:t>
            </w:r>
            <w:r w:rsidR="001419C0" w:rsidRPr="001419C0">
              <w:rPr>
                <w:rFonts w:ascii="Times New Roman" w:hAnsi="Times New Roman" w:cs="Times New Roman"/>
                <w:sz w:val="20"/>
              </w:rPr>
              <w:t>as</w:t>
            </w:r>
            <w:r w:rsidRPr="001419C0">
              <w:rPr>
                <w:rFonts w:ascii="Times New Roman" w:hAnsi="Times New Roman" w:cs="Times New Roman"/>
                <w:sz w:val="20"/>
              </w:rPr>
              <w:t xml:space="preserve"> the main cell type that carried CXCR3</w:t>
            </w:r>
            <w:r w:rsidR="001419C0" w:rsidRPr="001419C0">
              <w:rPr>
                <w:rFonts w:ascii="Times New Roman" w:hAnsi="Times New Roman" w:cs="Times New Roman"/>
                <w:sz w:val="20"/>
              </w:rPr>
              <w:t xml:space="preserve">. Preliminary result showed that CXCR3 expression was also upregulated in a T cell subpopulation in the peripheral blood in addition to its upregulation in the brain post-ICH. </w:t>
            </w:r>
          </w:p>
          <w:p w:rsidR="004B696F" w:rsidRPr="001419C0" w:rsidRDefault="004B696F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1419C0" w:rsidRDefault="0071291C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419C0"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="00475704" w:rsidRPr="001419C0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:rsidR="00475704" w:rsidRPr="001419C0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3A21E9" w:rsidRPr="001419C0" w:rsidRDefault="003A21E9" w:rsidP="009C0E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9C0">
              <w:rPr>
                <w:rFonts w:ascii="Times New Roman" w:hAnsi="Times New Roman" w:cs="Times New Roman"/>
                <w:sz w:val="20"/>
              </w:rPr>
              <w:t xml:space="preserve">The inhibition of CXCR3 improves outcomes of ICH in mice potentially via the reduction in </w:t>
            </w:r>
            <w:proofErr w:type="spellStart"/>
            <w:r w:rsidRPr="001419C0">
              <w:rPr>
                <w:rFonts w:ascii="Times New Roman" w:hAnsi="Times New Roman" w:cs="Times New Roman"/>
                <w:sz w:val="20"/>
              </w:rPr>
              <w:t>neuroinflammation</w:t>
            </w:r>
            <w:proofErr w:type="spellEnd"/>
            <w:r w:rsidRPr="001419C0">
              <w:rPr>
                <w:rFonts w:ascii="Times New Roman" w:hAnsi="Times New Roman" w:cs="Times New Roman"/>
                <w:sz w:val="20"/>
              </w:rPr>
              <w:t xml:space="preserve">. </w:t>
            </w:r>
            <w:bookmarkStart w:id="0" w:name="_GoBack"/>
            <w:bookmarkEnd w:id="0"/>
          </w:p>
          <w:p w:rsidR="00475704" w:rsidRP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</w:tbl>
    <w:p w:rsidR="003A7331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:rsidR="006861EF" w:rsidRDefault="001D1A88" w:rsidP="004668B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E94F0F">
        <w:rPr>
          <w:rFonts w:ascii="Times New Roman" w:hAnsi="Times New Roman" w:cs="Times New Roman"/>
          <w:sz w:val="20"/>
        </w:rPr>
        <w:t xml:space="preserve">239 </w:t>
      </w:r>
      <w:r>
        <w:rPr>
          <w:rFonts w:ascii="Times New Roman" w:hAnsi="Times New Roman" w:cs="Times New Roman"/>
          <w:sz w:val="20"/>
        </w:rPr>
        <w:t>words)</w:t>
      </w:r>
    </w:p>
    <w:p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88" w:rsidRDefault="004E0E88" w:rsidP="009D14FF">
      <w:pPr>
        <w:spacing w:after="0" w:line="240" w:lineRule="auto"/>
      </w:pPr>
      <w:r>
        <w:separator/>
      </w:r>
    </w:p>
  </w:endnote>
  <w:endnote w:type="continuationSeparator" w:id="0">
    <w:p w:rsidR="004E0E88" w:rsidRDefault="004E0E88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88" w:rsidRDefault="004E0E88" w:rsidP="009D14FF">
      <w:pPr>
        <w:spacing w:after="0" w:line="240" w:lineRule="auto"/>
      </w:pPr>
      <w:r>
        <w:separator/>
      </w:r>
    </w:p>
  </w:footnote>
  <w:footnote w:type="continuationSeparator" w:id="0">
    <w:p w:rsidR="004E0E88" w:rsidRDefault="004E0E88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7"/>
    <w:rsid w:val="000146D4"/>
    <w:rsid w:val="00020714"/>
    <w:rsid w:val="0008425E"/>
    <w:rsid w:val="000D5DF4"/>
    <w:rsid w:val="001419C0"/>
    <w:rsid w:val="00141FF4"/>
    <w:rsid w:val="001442C2"/>
    <w:rsid w:val="001A4978"/>
    <w:rsid w:val="001D1A88"/>
    <w:rsid w:val="00244660"/>
    <w:rsid w:val="002569C3"/>
    <w:rsid w:val="002B0561"/>
    <w:rsid w:val="002C20D5"/>
    <w:rsid w:val="002D40E3"/>
    <w:rsid w:val="0038084F"/>
    <w:rsid w:val="00392976"/>
    <w:rsid w:val="003A21E9"/>
    <w:rsid w:val="003A7331"/>
    <w:rsid w:val="003E4DBF"/>
    <w:rsid w:val="003F20B7"/>
    <w:rsid w:val="00413616"/>
    <w:rsid w:val="004450C4"/>
    <w:rsid w:val="004668B2"/>
    <w:rsid w:val="00475704"/>
    <w:rsid w:val="004B696F"/>
    <w:rsid w:val="004E0E88"/>
    <w:rsid w:val="00537962"/>
    <w:rsid w:val="005D2B45"/>
    <w:rsid w:val="005D4C48"/>
    <w:rsid w:val="005E4EDC"/>
    <w:rsid w:val="00613057"/>
    <w:rsid w:val="00641D1E"/>
    <w:rsid w:val="0065565C"/>
    <w:rsid w:val="006861EF"/>
    <w:rsid w:val="006930B2"/>
    <w:rsid w:val="006E6F85"/>
    <w:rsid w:val="0071291C"/>
    <w:rsid w:val="00732CF7"/>
    <w:rsid w:val="007356F5"/>
    <w:rsid w:val="007611F6"/>
    <w:rsid w:val="00766D6B"/>
    <w:rsid w:val="007B583A"/>
    <w:rsid w:val="009528B5"/>
    <w:rsid w:val="009617A7"/>
    <w:rsid w:val="00985772"/>
    <w:rsid w:val="009A2DC1"/>
    <w:rsid w:val="009C0E1F"/>
    <w:rsid w:val="009C4015"/>
    <w:rsid w:val="009D14FF"/>
    <w:rsid w:val="00A73411"/>
    <w:rsid w:val="00AE02FC"/>
    <w:rsid w:val="00B01305"/>
    <w:rsid w:val="00B17FA1"/>
    <w:rsid w:val="00BD7633"/>
    <w:rsid w:val="00C37FAB"/>
    <w:rsid w:val="00C6412E"/>
    <w:rsid w:val="00CA6DCD"/>
    <w:rsid w:val="00CC0DFC"/>
    <w:rsid w:val="00CF4507"/>
    <w:rsid w:val="00D90651"/>
    <w:rsid w:val="00DA3F74"/>
    <w:rsid w:val="00DF1BAA"/>
    <w:rsid w:val="00E138BC"/>
    <w:rsid w:val="00E769FC"/>
    <w:rsid w:val="00E94F0F"/>
    <w:rsid w:val="00E97DC9"/>
    <w:rsid w:val="00EA5F3E"/>
    <w:rsid w:val="00EF2C56"/>
    <w:rsid w:val="00F05FC8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HKNS ASM sample abstract template  2017.dotx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Windows User</cp:lastModifiedBy>
  <cp:revision>4</cp:revision>
  <cp:lastPrinted>2020-06-08T11:57:00Z</cp:lastPrinted>
  <dcterms:created xsi:type="dcterms:W3CDTF">2021-09-10T15:37:00Z</dcterms:created>
  <dcterms:modified xsi:type="dcterms:W3CDTF">2021-09-10T15:40:00Z</dcterms:modified>
</cp:coreProperties>
</file>